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EFEF"/>
  <w:body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T. C.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SÜLEYMAN DEMİREL ÜNİVERSİTESİ 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TIP FAKÜLTESİ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2016 - 2017 EĞİTİM - ÖĞRETİM YILI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DÖNEM III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Arial Black" w:hAnsi="Arial Black" w:cs="Arial Black"/>
          <w:color w:val="auto"/>
          <w:spacing w:val="20"/>
          <w:sz w:val="28"/>
          <w:szCs w:val="28"/>
        </w:rPr>
      </w:pPr>
      <w:r w:rsidRPr="000838BF">
        <w:rPr>
          <w:rFonts w:ascii="Arial Black" w:hAnsi="Arial Black" w:cs="Arial Black"/>
          <w:color w:val="auto"/>
          <w:spacing w:val="20"/>
          <w:sz w:val="28"/>
          <w:szCs w:val="28"/>
        </w:rPr>
        <w:t xml:space="preserve">DOKU ZEDELENMESİ VE ENFEKSİYON </w:t>
      </w:r>
    </w:p>
    <w:p w:rsidR="00606E20" w:rsidRPr="000838BF" w:rsidRDefault="00606E20" w:rsidP="00606E20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38BF">
        <w:rPr>
          <w:rFonts w:ascii="Times New Roman" w:hAnsi="Times New Roman" w:cs="Times New Roman"/>
          <w:b/>
          <w:bCs/>
          <w:color w:val="auto"/>
          <w:sz w:val="28"/>
          <w:szCs w:val="28"/>
        </w:rPr>
        <w:t>DERS KURULU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38BF">
        <w:rPr>
          <w:rFonts w:ascii="Times New Roman" w:hAnsi="Times New Roman" w:cs="Times New Roman"/>
          <w:b/>
          <w:bCs/>
          <w:color w:val="auto"/>
          <w:sz w:val="28"/>
          <w:szCs w:val="28"/>
        </w:rPr>
        <w:t>( 19 EYLÜL 2016 - 28 EKİM 2016)</w:t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36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DEKAN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  <w:t>Prof. Dr. Alim KOŞAR</w:t>
      </w: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36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BAŞKOORDİNATÖR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838BF">
        <w:rPr>
          <w:rFonts w:ascii="Times New Roman" w:hAnsi="Times New Roman" w:cs="Times New Roman"/>
          <w:color w:val="auto"/>
          <w:sz w:val="20"/>
          <w:szCs w:val="20"/>
        </w:rPr>
        <w:t>Prof. Dr. Buket CİCİOĞLU ARIDOĞAN</w:t>
      </w: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36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DÖNEM III KOORDİNATÖRÜ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Doç. Dr. Metin ÇİRİŞ    </w:t>
      </w:r>
    </w:p>
    <w:p w:rsidR="00A26001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36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DÖNEM III KOORDİNATÖR </w:t>
      </w:r>
      <w:proofErr w:type="gramStart"/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YARDIMCILARI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proofErr w:type="spellStart"/>
      <w:r w:rsidRPr="000838BF">
        <w:rPr>
          <w:rFonts w:ascii="Times New Roman" w:hAnsi="Times New Roman" w:cs="Times New Roman"/>
          <w:color w:val="auto"/>
          <w:sz w:val="22"/>
          <w:szCs w:val="22"/>
        </w:rPr>
        <w:t>Doç.Dr</w:t>
      </w:r>
      <w:proofErr w:type="spellEnd"/>
      <w:proofErr w:type="gramEnd"/>
      <w:r w:rsidRPr="000838BF">
        <w:rPr>
          <w:rFonts w:ascii="Times New Roman" w:hAnsi="Times New Roman" w:cs="Times New Roman"/>
          <w:color w:val="auto"/>
          <w:sz w:val="22"/>
          <w:szCs w:val="22"/>
        </w:rPr>
        <w:t>. Şirin BAŞPINAR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06E20" w:rsidRPr="000838BF" w:rsidRDefault="00A26001" w:rsidP="00606E20">
      <w:pPr>
        <w:widowControl/>
        <w:tabs>
          <w:tab w:val="left" w:pos="4962"/>
        </w:tabs>
        <w:autoSpaceDE w:val="0"/>
        <w:autoSpaceDN w:val="0"/>
        <w:spacing w:line="36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6E20" w:rsidRPr="000838BF">
        <w:rPr>
          <w:rFonts w:ascii="Times New Roman" w:hAnsi="Times New Roman" w:cs="Times New Roman"/>
          <w:color w:val="auto"/>
          <w:sz w:val="22"/>
          <w:szCs w:val="22"/>
        </w:rPr>
        <w:t xml:space="preserve">Yrd. </w:t>
      </w:r>
      <w:proofErr w:type="spellStart"/>
      <w:r w:rsidR="00606E20" w:rsidRPr="000838BF">
        <w:rPr>
          <w:rFonts w:ascii="Times New Roman" w:hAnsi="Times New Roman" w:cs="Times New Roman"/>
          <w:color w:val="auto"/>
          <w:sz w:val="22"/>
          <w:szCs w:val="22"/>
        </w:rPr>
        <w:t>Doç.Dr</w:t>
      </w:r>
      <w:proofErr w:type="spellEnd"/>
      <w:r w:rsidR="00606E20" w:rsidRPr="000838BF">
        <w:rPr>
          <w:rFonts w:ascii="Times New Roman" w:hAnsi="Times New Roman" w:cs="Times New Roman"/>
          <w:color w:val="auto"/>
          <w:sz w:val="22"/>
          <w:szCs w:val="22"/>
        </w:rPr>
        <w:t>. Kemal Kürşat BOZKURT</w:t>
      </w:r>
      <w:r w:rsidR="00606E20"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89"/>
        <w:gridCol w:w="1389"/>
        <w:gridCol w:w="1389"/>
        <w:gridCol w:w="1389"/>
        <w:gridCol w:w="1390"/>
      </w:tblGrid>
      <w:tr w:rsidR="000838BF" w:rsidRPr="000838BF" w:rsidTr="00A83DB8">
        <w:trPr>
          <w:trHeight w:val="2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DERSLER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keepNext/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TEORİK D.S.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keepNext/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PRATİK D.S.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keepNext/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TOPLAM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keepNext/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SORU SAYISI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keepNext/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PUAN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Hlk208646132"/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Patoloji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 (T22-P3)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25</w:t>
            </w:r>
          </w:p>
        </w:tc>
      </w:tr>
      <w:bookmarkEnd w:id="0"/>
      <w:tr w:rsidR="000838BF" w:rsidRPr="000838BF" w:rsidTr="00A83DB8">
        <w:trPr>
          <w:trHeight w:val="2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Farmakoloji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Mikrobiyoloji ve Klinik Mikrobiyoloji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Klinik Biyokimya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</w:tr>
      <w:tr w:rsidR="000838BF" w:rsidRPr="000838BF" w:rsidTr="00A83DB8">
        <w:trPr>
          <w:trHeight w:val="25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-532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Klinik Bakteriyoloji ve Enfeksiyon Hastalıkları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Nükleer Tıp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Tıbbi genetik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</w:tr>
      <w:tr w:rsidR="000838BF" w:rsidRPr="000838BF" w:rsidTr="00A83DB8">
        <w:trPr>
          <w:trHeight w:val="25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124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838BF">
              <w:rPr>
                <w:rFonts w:ascii="Calibri" w:hAnsi="Calibri" w:cs="Times New Roman"/>
                <w:color w:val="auto"/>
                <w:sz w:val="22"/>
                <w:szCs w:val="22"/>
              </w:rPr>
              <w:t>148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8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0" w:rsidRPr="000838BF" w:rsidRDefault="00606E20" w:rsidP="00606E20">
            <w:pPr>
              <w:widowControl/>
              <w:autoSpaceDE w:val="0"/>
              <w:autoSpaceDN w:val="0"/>
              <w:spacing w:line="240" w:lineRule="auto"/>
              <w:ind w:righ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838B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38BF">
        <w:rPr>
          <w:rFonts w:ascii="Times New Roman" w:hAnsi="Times New Roman" w:cs="Times New Roman"/>
          <w:b/>
          <w:color w:val="auto"/>
          <w:sz w:val="22"/>
          <w:szCs w:val="22"/>
        </w:rPr>
        <w:t>D.S</w:t>
      </w:r>
      <w:proofErr w:type="gramStart"/>
      <w:r w:rsidRPr="000838BF">
        <w:rPr>
          <w:rFonts w:ascii="Times New Roman" w:hAnsi="Times New Roman" w:cs="Times New Roman"/>
          <w:b/>
          <w:color w:val="auto"/>
          <w:sz w:val="22"/>
          <w:szCs w:val="22"/>
        </w:rPr>
        <w:t>.:</w:t>
      </w:r>
      <w:proofErr w:type="gramEnd"/>
      <w:r w:rsidRPr="000838BF">
        <w:rPr>
          <w:rFonts w:ascii="Times New Roman" w:hAnsi="Times New Roman" w:cs="Times New Roman"/>
          <w:color w:val="auto"/>
          <w:sz w:val="22"/>
          <w:szCs w:val="22"/>
        </w:rPr>
        <w:t xml:space="preserve"> Ders Saati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b/>
          <w:bCs/>
          <w:color w:val="auto"/>
          <w:sz w:val="22"/>
          <w:szCs w:val="22"/>
        </w:rPr>
        <w:t>DERS KURULU ÜYELERİ:</w:t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838B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color w:val="auto"/>
          <w:sz w:val="18"/>
          <w:szCs w:val="18"/>
        </w:rPr>
        <w:t>Doç. Dr. Şirin BAŞPINAR (Kurul Başkanı)</w:t>
      </w: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color w:val="auto"/>
          <w:sz w:val="18"/>
          <w:szCs w:val="18"/>
        </w:rPr>
        <w:t>Doç. Dr. Onur KAYA</w:t>
      </w:r>
    </w:p>
    <w:p w:rsidR="00606E20" w:rsidRPr="000838BF" w:rsidRDefault="00606E20" w:rsidP="00606E20">
      <w:pPr>
        <w:widowControl/>
        <w:tabs>
          <w:tab w:val="left" w:pos="4962"/>
        </w:tabs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Yrd. Doç.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Dr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Halil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Aşcı</w:t>
      </w:r>
      <w:proofErr w:type="spellEnd"/>
    </w:p>
    <w:p w:rsidR="00606E20" w:rsidRPr="000838BF" w:rsidRDefault="00606E20" w:rsidP="00606E20">
      <w:pPr>
        <w:widowControl/>
        <w:tabs>
          <w:tab w:val="left" w:pos="284"/>
          <w:tab w:val="left" w:pos="1701"/>
          <w:tab w:val="left" w:pos="4962"/>
          <w:tab w:val="left" w:pos="7513"/>
        </w:tabs>
        <w:autoSpaceDE w:val="0"/>
        <w:autoSpaceDN w:val="0"/>
        <w:spacing w:line="240" w:lineRule="auto"/>
        <w:ind w:right="0" w:hanging="284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606E20" w:rsidRPr="000838BF" w:rsidRDefault="00606E20" w:rsidP="00606E20">
      <w:pPr>
        <w:widowControl/>
        <w:autoSpaceDE w:val="0"/>
        <w:autoSpaceDN w:val="0"/>
        <w:spacing w:line="240" w:lineRule="auto"/>
        <w:ind w:right="0"/>
        <w:contextualSpacing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838BF">
        <w:rPr>
          <w:rFonts w:ascii="Times New Roman" w:hAnsi="Times New Roman" w:cs="Times New Roman"/>
          <w:b/>
          <w:color w:val="auto"/>
          <w:sz w:val="20"/>
          <w:szCs w:val="20"/>
        </w:rPr>
        <w:t>DERS KURULU AMAÇLARI</w:t>
      </w:r>
    </w:p>
    <w:p w:rsidR="00606E20" w:rsidRPr="000838BF" w:rsidRDefault="00606E20" w:rsidP="00606E20">
      <w:pPr>
        <w:widowControl/>
        <w:autoSpaceDE w:val="0"/>
        <w:autoSpaceDN w:val="0"/>
        <w:spacing w:line="360" w:lineRule="auto"/>
        <w:ind w:right="0"/>
        <w:contextualSpacing w:val="0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İlacın ne olduğunu, tedavideki önemini, vücuda etkilerini ve vücuttan nasıl atıldığını bilir </w:t>
      </w:r>
      <w:r w:rsidRPr="000838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(Bilişsel alan)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Antibiyotiklerin etki mekanizmasını, sınıflandırılmalarını, enfeksiyon tedavisindeki önemini ve özelliklerini teorik anlamda değerlendirir </w:t>
      </w:r>
      <w:r w:rsidRPr="000838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(Bilişsel alan).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Sistem patolojilerine başlamadan önce öğrenciler; hücre zedelenmesi ve dejenerasyonları, hücre adaptasyon mekanizmaları, onarım, iltihap,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immün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sistem ve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otoimmun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hastalıklar,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benign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ve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malign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tümörlerin özellikleri ve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onkogenez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, 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enfeksiyöz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ajanların hastalığa sebep olma mekanizmaları ve iltihabi cevap gibi temel patolojik kavramları bilir </w:t>
      </w:r>
      <w:r w:rsidRPr="000838BF">
        <w:rPr>
          <w:rFonts w:ascii="Times New Roman" w:hAnsi="Times New Roman" w:cs="Times New Roman"/>
          <w:b/>
          <w:color w:val="auto"/>
          <w:sz w:val="18"/>
          <w:szCs w:val="18"/>
        </w:rPr>
        <w:t>(Bilişsel alan).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Hastalıklara neden olan mikroorganizmaları, oluşturduğu hastalıkları bilir, özelliklerini ayırt eder, bu etkenlerin hastalık oluş mekanizmaları ve tedavi yaklaşımlarını bilir</w:t>
      </w:r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(Bilişsel alan).</w:t>
      </w:r>
      <w:r w:rsidRPr="000838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>Patoloji</w:t>
      </w:r>
      <w:r w:rsidRPr="000838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proofErr w:type="spellStart"/>
      <w:r w:rsidRPr="000838BF">
        <w:rPr>
          <w:rFonts w:ascii="Times New Roman" w:hAnsi="Times New Roman" w:cs="Times New Roman"/>
          <w:color w:val="auto"/>
          <w:sz w:val="18"/>
          <w:szCs w:val="18"/>
        </w:rPr>
        <w:t>laboratuarında</w:t>
      </w:r>
      <w:proofErr w:type="spellEnd"/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 geliştirilmesi gereken tutum ve davranışları kavrar ve uygun uygulamalar yapar (radyasyondan korunma gibi). </w:t>
      </w:r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(</w:t>
      </w:r>
      <w:proofErr w:type="spellStart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Psikomotor</w:t>
      </w:r>
      <w:proofErr w:type="spellEnd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alan)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Genetik hastalıklara yaklaşımı öğrenir. </w:t>
      </w:r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(</w:t>
      </w:r>
      <w:proofErr w:type="spellStart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Duyuşsal</w:t>
      </w:r>
      <w:proofErr w:type="spellEnd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alan)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Reçete yazarken ve sonrasında hastayı bilgilendirme şeklini kavrar. </w:t>
      </w:r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(</w:t>
      </w:r>
      <w:proofErr w:type="spellStart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Duyuşsal</w:t>
      </w:r>
      <w:proofErr w:type="spellEnd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alan) </w:t>
      </w:r>
      <w:r w:rsidRPr="000838BF">
        <w:rPr>
          <w:rFonts w:ascii="Times New Roman" w:hAnsi="Times New Roman" w:cs="Times New Roman"/>
          <w:color w:val="auto"/>
          <w:sz w:val="18"/>
          <w:szCs w:val="18"/>
        </w:rPr>
        <w:t xml:space="preserve">Enfeksiyon Hastalıklarında Öykü Alma, Genel Belirtilerini kavrar. </w:t>
      </w:r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(</w:t>
      </w:r>
      <w:proofErr w:type="spellStart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>Duyuşsal</w:t>
      </w:r>
      <w:proofErr w:type="spellEnd"/>
      <w:r w:rsidRPr="000838B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alan) </w:t>
      </w:r>
      <w:r w:rsidRPr="000838BF">
        <w:rPr>
          <w:rFonts w:ascii="Times New Roman" w:hAnsi="Times New Roman" w:cs="Times New Roman"/>
          <w:bCs/>
          <w:color w:val="auto"/>
          <w:sz w:val="18"/>
          <w:szCs w:val="18"/>
        </w:rPr>
        <w:t>Enzimlerin klinikte kullanım alanlarını, tümör belirteçlerinin tanı ve izlemdeki rolünü kavrar. Yaşlılıktaki biyokimyasal değişiklikleri bilir.</w:t>
      </w:r>
    </w:p>
    <w:p w:rsidR="00606E20" w:rsidRPr="000838BF" w:rsidRDefault="00606E20" w:rsidP="00606E20">
      <w:pPr>
        <w:widowControl/>
        <w:spacing w:after="200"/>
        <w:ind w:right="0"/>
        <w:contextualSpacing w:val="0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0838BF">
        <w:rPr>
          <w:rFonts w:ascii="Times New Roman" w:hAnsi="Times New Roman" w:cs="Times New Roman"/>
          <w:bCs/>
          <w:color w:val="auto"/>
          <w:sz w:val="18"/>
          <w:szCs w:val="18"/>
        </w:rPr>
        <w:br w:type="page"/>
      </w:r>
    </w:p>
    <w:p w:rsidR="00606E20" w:rsidRPr="000838BF" w:rsidRDefault="00606E20" w:rsidP="00606E20">
      <w:pPr>
        <w:spacing w:line="360" w:lineRule="auto"/>
        <w:ind w:right="1"/>
        <w:contextualSpacing w:val="0"/>
        <w:jc w:val="center"/>
        <w:rPr>
          <w:rFonts w:ascii="Calibri" w:hAnsi="Calibri" w:cs="Calibri"/>
          <w:color w:val="auto"/>
          <w:sz w:val="28"/>
          <w:szCs w:val="28"/>
          <w:highlight w:val="white"/>
        </w:rPr>
      </w:pP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1.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19 EYLÜL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BİYOKİMYA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Yaşlılık biyokimyası -1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BİYOKİMYA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Yaşlılık biyokimyası -2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Staphylococcus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–1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16.30 –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Staphylococcus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–2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20 EYLÜL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Farmakolojiye giriş–1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Farmakolojiye giriş–2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uygulama yolları–1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uygulama yolları–2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İlaçların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absorbsiyonu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– 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İlaçların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absorbsiyonu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– 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434"/>
        <w:gridCol w:w="5094"/>
        <w:gridCol w:w="2644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21 EYLÜL 2016 ÇARŞAMBA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–10.20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  <w:bookmarkStart w:id="1" w:name="_GoBack"/>
            <w:bookmarkEnd w:id="1"/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Patolojiye giriş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Streptococcus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–1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Streptococcus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–2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BİYOKİMYA       </w:t>
            </w:r>
            <w:r w:rsidRPr="000838B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Klinik Enzimoloji-1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BİYOKİMYA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Klinik Enzimoloji-2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16.30 – 17.20</w:t>
            </w:r>
          </w:p>
        </w:tc>
        <w:tc>
          <w:tcPr>
            <w:tcW w:w="2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22 EYLÜL 2016 PERŞEMBE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Dağılımı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istenilmeyen etkileri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biyotransformasyonları-1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biyotransformasyonları-2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eliminasyonu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Doz konsantrasyon-etki ilişkisi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23 EYLÜL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Hücre zedelenmesi ve dejenerasyonları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Nekroz,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apopitoz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Hücre zedelenmesi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subsellüler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cevaplar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Hücre adaptasyonları ve kalsifikasyon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18"/>
                <w:szCs w:val="18"/>
              </w:rPr>
              <w:t>Neisseria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gonorrhoea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18"/>
                <w:szCs w:val="18"/>
              </w:rPr>
              <w:t>Neisseria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meningitidis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Moraxella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2.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26 EYLÜL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İltihap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etyolojisi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, akut iltihap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İltihapta hücresel olaylar, lökosit fonksiyonları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etkileşme şekilleri-1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etkileşme şekilleri-2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Reçete bilgisi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etkisini değiştiren faktörler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27 EYLÜL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İltihabın kimyasal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mediatörleri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Onarım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İlaçların etki mekanizması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Reseptörler ve ilaç-reseptör ilişkisi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Kemoterapötik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ilaçlara giriş - 1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Kemoterapötik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ilaçlara giriş - 2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28 EYLÜL 2016 ÇARŞAMBA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Brucella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Nocardia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Bacillus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Listeria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Corynebacterium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Erysipelothrix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BİYOKİMYA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Tümör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markırları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-1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BİYOKİMYA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Tümör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markırları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-2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Duygu K.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Doğuç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106"/>
        <w:gridCol w:w="5422"/>
        <w:gridCol w:w="2644"/>
      </w:tblGrid>
      <w:tr w:rsidR="000838BF" w:rsidRPr="000838BF" w:rsidTr="00A5481B">
        <w:tc>
          <w:tcPr>
            <w:tcW w:w="1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29 EYLÜL 2016 PERŞEMBE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4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Penisilinler-1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09.30 - 10.20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4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Penisilinler-2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4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Sefalosporinler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Diğer Beta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Laktam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Antibiyotikler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4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Sefalosporinler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Diğer Beta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Laktam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Antibiyotikler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1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A</w:t>
            </w:r>
          </w:p>
        </w:tc>
        <w:tc>
          <w:tcPr>
            <w:tcW w:w="54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Bakterilerin klinik örneklerden izolasyonunda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kullanılan temel ve özel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besiyerlerinin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tanıtımı</w:t>
            </w:r>
          </w:p>
        </w:tc>
        <w:tc>
          <w:tcPr>
            <w:tcW w:w="26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10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4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4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1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B</w:t>
            </w:r>
          </w:p>
        </w:tc>
        <w:tc>
          <w:tcPr>
            <w:tcW w:w="54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Bakterilerin klinik örneklerden izolasyonunda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kullanılan temel ve özel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besiyerlerinin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tanıtımı</w:t>
            </w:r>
          </w:p>
        </w:tc>
        <w:tc>
          <w:tcPr>
            <w:tcW w:w="26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16.30 – 17.20</w:t>
            </w:r>
          </w:p>
        </w:tc>
        <w:tc>
          <w:tcPr>
            <w:tcW w:w="210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4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4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001"/>
        <w:gridCol w:w="5647"/>
        <w:gridCol w:w="2509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30 EYLÜL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0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FARMAKOLOJİ</w:t>
            </w:r>
          </w:p>
        </w:tc>
        <w:tc>
          <w:tcPr>
            <w:tcW w:w="5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Makrolidler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Linkozamid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Streptograninler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Linezolid-1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0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FARMAKOLOJİ</w:t>
            </w:r>
          </w:p>
        </w:tc>
        <w:tc>
          <w:tcPr>
            <w:tcW w:w="5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Makrolidler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Linkozamid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Streptograninler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Linezolid-2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0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TIP</w:t>
            </w:r>
          </w:p>
        </w:tc>
        <w:tc>
          <w:tcPr>
            <w:tcW w:w="5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Radyasyon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biolojisi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ve radyasyondan korunma prensipleri - 1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S.Süreyya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Çerçi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0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TIP</w:t>
            </w:r>
          </w:p>
        </w:tc>
        <w:tc>
          <w:tcPr>
            <w:tcW w:w="5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Radyasyon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biolojisi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ve radyasyondan korunma prensipleri - 2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S.Süreyya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Çerçi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0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Uygulama (gruplar halinde)</w:t>
            </w:r>
          </w:p>
        </w:tc>
        <w:tc>
          <w:tcPr>
            <w:tcW w:w="56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Patoloji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laboratuarı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işleyişi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(Patoloji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Lab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>, poliklinik binası) Bildirilen gruplar halinde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 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0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6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0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Uygulama (gruplar halinde)</w:t>
            </w:r>
          </w:p>
        </w:tc>
        <w:tc>
          <w:tcPr>
            <w:tcW w:w="56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Patoloji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laboratuarı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işleyişi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(Patoloji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Lab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>, poliklinik binası) Bildirilen gruplar halinde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 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0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6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3.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3 EKİM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B</w:t>
            </w:r>
          </w:p>
        </w:tc>
        <w:tc>
          <w:tcPr>
            <w:tcW w:w="5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Bakterilerin biyokimyasal özelliklerinin ve enzim sistemlerinin incelenmesi</w:t>
            </w:r>
          </w:p>
        </w:tc>
        <w:tc>
          <w:tcPr>
            <w:tcW w:w="2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A</w:t>
            </w:r>
          </w:p>
        </w:tc>
        <w:tc>
          <w:tcPr>
            <w:tcW w:w="5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Bakterilerin biyokimyasal özelliklerinin ve enzim sistemlerinin incelenmesi</w:t>
            </w:r>
          </w:p>
        </w:tc>
        <w:tc>
          <w:tcPr>
            <w:tcW w:w="2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İmmun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sistem hücreleri, HLA sistemi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Aşırı duyarlılık reaksiyonları – 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Dar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spek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polipeptit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yapılı antibiyotikler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antianeorob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16.30 –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Dar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spek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polipeptit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yapılı antibiyotikler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antianeorob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4 EKİM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Sulfonamidler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Trimetoprim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Fluorokinolonlar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Tetrasiklinler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Amfenikoller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Aminoglikozidler-1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Tetrasiklinler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Amfenikoller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Aminoglikozidler-2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Aşırı duyarlılık reaksiyonları -2  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İmmunite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bozuklukları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288"/>
        <w:gridCol w:w="2494"/>
      </w:tblGrid>
      <w:tr w:rsidR="000838BF" w:rsidRPr="000838BF" w:rsidTr="00A5481B">
        <w:tc>
          <w:tcPr>
            <w:tcW w:w="1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5 EKİM 2016 ÇARŞAMBA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Mycobacterium-1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Mycobacterium-2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Karsinogenez</w:t>
            </w:r>
            <w:proofErr w:type="spellEnd"/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Onkogenler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tümör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supresör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genler                                 </w:t>
            </w:r>
            <w:r w:rsidRPr="000838B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19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Otoimmun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hastalıklar-1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Otoimmun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hastalıklar-2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Sema Bircan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6 EKİM 2016 PERŞEMBE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Antifungal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 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Antifungal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 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proofErr w:type="gramStart"/>
            <w:r w:rsidRPr="000838BF">
              <w:rPr>
                <w:color w:val="auto"/>
                <w:sz w:val="20"/>
                <w:szCs w:val="20"/>
              </w:rPr>
              <w:t>Antitüberküloz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 ve</w:t>
            </w:r>
            <w:proofErr w:type="gramEnd"/>
            <w:r w:rsidRPr="000838B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Antilepra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Antimalaryal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A</w:t>
            </w:r>
          </w:p>
        </w:tc>
        <w:tc>
          <w:tcPr>
            <w:tcW w:w="5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Mikobakterilerde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tanı yöntemleri, Aside alkole (A)</w:t>
            </w:r>
          </w:p>
        </w:tc>
        <w:tc>
          <w:tcPr>
            <w:tcW w:w="2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 – UYGULAMA B</w:t>
            </w:r>
          </w:p>
        </w:tc>
        <w:tc>
          <w:tcPr>
            <w:tcW w:w="5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Mikobakterilerde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tanı yöntemleri, Aside alkole dirençli boyama(B)</w:t>
            </w:r>
          </w:p>
        </w:tc>
        <w:tc>
          <w:tcPr>
            <w:tcW w:w="26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</w:t>
            </w:r>
            <w:proofErr w:type="gramStart"/>
            <w:r w:rsidRPr="000838BF">
              <w:rPr>
                <w:color w:val="auto"/>
                <w:sz w:val="20"/>
                <w:szCs w:val="20"/>
              </w:rPr>
              <w:t xml:space="preserve">Buket 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  <w:proofErr w:type="gram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16.30 – 17.20</w:t>
            </w:r>
          </w:p>
        </w:tc>
        <w:tc>
          <w:tcPr>
            <w:tcW w:w="23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7 EKİM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Uygulama (A)</w:t>
            </w:r>
          </w:p>
        </w:tc>
        <w:tc>
          <w:tcPr>
            <w:tcW w:w="51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Hücre dejenerasyonları, yağlanma, nekroz,                                 </w:t>
            </w:r>
            <w:r w:rsidRPr="000838BF">
              <w:rPr>
                <w:color w:val="auto"/>
                <w:sz w:val="18"/>
                <w:szCs w:val="18"/>
              </w:rPr>
              <w:tab/>
              <w:t xml:space="preserve">akut ve kronik iltihap örnekleri  </w:t>
            </w:r>
          </w:p>
        </w:tc>
        <w:tc>
          <w:tcPr>
            <w:tcW w:w="2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2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Uygulama (B)</w:t>
            </w:r>
          </w:p>
        </w:tc>
        <w:tc>
          <w:tcPr>
            <w:tcW w:w="51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Hücre dejenerasyonları, yağlanma, nekroz,                                 </w:t>
            </w:r>
            <w:r w:rsidRPr="000838BF">
              <w:rPr>
                <w:color w:val="auto"/>
                <w:sz w:val="18"/>
                <w:szCs w:val="18"/>
              </w:rPr>
              <w:tab/>
              <w:t xml:space="preserve">akut ve kronik iltihap örnekleri  </w:t>
            </w:r>
          </w:p>
        </w:tc>
        <w:tc>
          <w:tcPr>
            <w:tcW w:w="2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Nermin Karahan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2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Mycoplazma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ureaplazma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Haemophiluslar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Bordetella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Franciella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4.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 EKİM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Enfeksiyöz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ajanların </w:t>
            </w:r>
            <w:proofErr w:type="spellStart"/>
            <w:proofErr w:type="gramStart"/>
            <w:r w:rsidRPr="000838BF">
              <w:rPr>
                <w:color w:val="auto"/>
                <w:sz w:val="20"/>
                <w:szCs w:val="20"/>
              </w:rPr>
              <w:t>sınıflandırılması,yayılım</w:t>
            </w:r>
            <w:proofErr w:type="spellEnd"/>
            <w:proofErr w:type="gramEnd"/>
            <w:r w:rsidRPr="000838BF">
              <w:rPr>
                <w:color w:val="auto"/>
                <w:sz w:val="20"/>
                <w:szCs w:val="20"/>
              </w:rPr>
              <w:t xml:space="preserve"> yolları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Enfeksiyöz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ajanların hastalığa sebep olma mekanizmaları ve iltihabi cevap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11 EKİM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Antiamibik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Antiprotozoal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Antihelmintik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Antiviral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 - 1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Antiviral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 - 2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Otakoidler-1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Otakoidler-2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12 EKİM 2016 ÇARŞAMBA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Salmonella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Vibrio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Pseudomonas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Aeromonas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ENFEKSİYON H.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Enfeksiyon Etkenleri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Onur Kaya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ENFEKSİYON H.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Enfeksiyon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hast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>. karşı doğal savunma sistemleri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Onur Kaya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ENFEKSİYON H.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Enfeksiyon Hastalıklarında Öykü Alma, Enfeksiyon Hastalıklarının Genel Belirtileri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Onur Kaya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Bakteriyel hastalıkların patolojisi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Viral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hastalıkların patolojisi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16.30 –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 EKİM 2016 PERŞEMBE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312C5C" w:rsidP="00A5481B">
            <w:pPr>
              <w:ind w:right="0"/>
              <w:contextualSpacing w:val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Antineoplastik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Antineoplastik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Antineoplastik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ilaçlar-3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İmmünomodülatör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ilaçlar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Halil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Aşcı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Enterobactericae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E.coli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Klebsiella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Schigella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Proteus</w:t>
            </w:r>
            <w:proofErr w:type="spellEnd"/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 EKİM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Mantar hastalıklarının patolojisi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Parazit hastalıklarının patolojisi      </w:t>
            </w:r>
            <w:r w:rsidRPr="000838B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Kemal K. Bozkurt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Kampilobakterler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Helikobakterler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Richetsia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Chlamidia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Benign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malign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tümörlerin özellikleri 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Tümör biyolojisi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5.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17 EKİM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18"/>
                <w:szCs w:val="18"/>
              </w:rPr>
              <w:t>Anaeroblar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Bacteriodes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Clostridum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18"/>
                <w:szCs w:val="18"/>
              </w:rPr>
              <w:t>Anaeroblar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Bacteriodes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Clostridum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Antibiyotikler I (Etki mekanizmaları ve spektrumları)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Antibiyotikler I (Etki mekanizmaları ve spektrumları)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proofErr w:type="gramStart"/>
            <w:r w:rsidRPr="000838BF">
              <w:rPr>
                <w:color w:val="auto"/>
                <w:sz w:val="20"/>
                <w:szCs w:val="20"/>
              </w:rPr>
              <w:t>Preneoplastik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 hastalıklar</w:t>
            </w:r>
            <w:proofErr w:type="gram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Amiloidoz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            </w:t>
            </w:r>
            <w:r w:rsidRPr="000838BF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18 EKİM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Antibiyotikler II (Direnç sorunu, direnç tanısı)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Antibiyotikler II (Direnç sorunu, direnç tanısı)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10.30 - 11.20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Spiroket-1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Spiroket-2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TIP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tıp fiziği – 1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Mustafa Yıldız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TIP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Nükleer tıp fiziği – 2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Mustafa Yıldız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19 EKİM 2016 ÇARŞAMBA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Retrovirüs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HIV -1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Retrovirüs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ve HIV -2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Sıvı ve elektrolit bozuklukları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İ. Metin Çiriş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Ödem,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Tromboz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Emboli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Hemoraji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İnfarkt</w:t>
            </w:r>
            <w:proofErr w:type="spellEnd"/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İ. Metin Çiriş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MİKROBİYOLOJİ- Uygulama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Boğaz, dışkı ve idrar kültürünün alınması,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ekimi ve florada bulunan bakterilerin incelenmesi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MİKROBİYOLOJİ- Uygulama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Boğaz, dışkı ve idrar kültürünün alınması,</w:t>
            </w:r>
          </w:p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ekimi ve florada bulunan bakterilerin incelenmesi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Dr. Emel S. Çetin</w:t>
            </w:r>
          </w:p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15.30 - 17.20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75"/>
        <w:gridCol w:w="5124"/>
        <w:gridCol w:w="2658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20 EKİM 2016 PERŞEMBE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08.30 - 09.20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TIBBİ GENETİK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Genetik hastalıklara yaklaşım – 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Dr. Nilüfer Ş.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Calapoğlu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09.30 - 10.20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TIBBİ GENETİK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Genetik hastalıklara yaklaşım – 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Dr. Nilüfer Ş. 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Calapoğlu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10.30 - 11.20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Herpes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virüsler-1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11.30 - 12.20</w:t>
            </w:r>
          </w:p>
        </w:tc>
        <w:tc>
          <w:tcPr>
            <w:tcW w:w="2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proofErr w:type="spellStart"/>
            <w:r w:rsidRPr="000838BF">
              <w:rPr>
                <w:color w:val="auto"/>
                <w:sz w:val="20"/>
                <w:szCs w:val="20"/>
              </w:rPr>
              <w:t>Herpes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virüsler-2</w:t>
            </w:r>
          </w:p>
        </w:tc>
        <w:tc>
          <w:tcPr>
            <w:tcW w:w="26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Buket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Arıdoğan</w:t>
            </w:r>
            <w:proofErr w:type="spellEnd"/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13.30 - 14.20</w:t>
            </w:r>
          </w:p>
        </w:tc>
        <w:tc>
          <w:tcPr>
            <w:tcW w:w="2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Uyg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(B)</w:t>
            </w:r>
          </w:p>
        </w:tc>
        <w:tc>
          <w:tcPr>
            <w:tcW w:w="51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Ödem,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trombüs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atrofi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hiperplazi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örnekleri</w:t>
            </w:r>
          </w:p>
        </w:tc>
        <w:tc>
          <w:tcPr>
            <w:tcW w:w="2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14.30 - 15.20</w:t>
            </w:r>
          </w:p>
        </w:tc>
        <w:tc>
          <w:tcPr>
            <w:tcW w:w="23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2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15.30 - 16.20</w:t>
            </w:r>
          </w:p>
        </w:tc>
        <w:tc>
          <w:tcPr>
            <w:tcW w:w="2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>PATOLOJİ-</w:t>
            </w:r>
            <w:proofErr w:type="spellStart"/>
            <w:r w:rsidRPr="000838BF">
              <w:rPr>
                <w:color w:val="auto"/>
                <w:sz w:val="18"/>
                <w:szCs w:val="18"/>
              </w:rPr>
              <w:t>Uyg</w:t>
            </w:r>
            <w:proofErr w:type="spellEnd"/>
            <w:r w:rsidRPr="000838BF">
              <w:rPr>
                <w:color w:val="auto"/>
                <w:sz w:val="18"/>
                <w:szCs w:val="18"/>
              </w:rPr>
              <w:t xml:space="preserve"> (A)</w:t>
            </w:r>
          </w:p>
        </w:tc>
        <w:tc>
          <w:tcPr>
            <w:tcW w:w="51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Ödem,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trombüs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atrofi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hiperplazi</w:t>
            </w:r>
            <w:proofErr w:type="spellEnd"/>
            <w:r w:rsidRPr="000838BF">
              <w:rPr>
                <w:color w:val="auto"/>
                <w:sz w:val="20"/>
                <w:szCs w:val="20"/>
              </w:rPr>
              <w:t xml:space="preserve"> örnekleri</w:t>
            </w:r>
          </w:p>
        </w:tc>
        <w:tc>
          <w:tcPr>
            <w:tcW w:w="2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Dr. Şirin </w:t>
            </w:r>
            <w:proofErr w:type="spellStart"/>
            <w:r w:rsidRPr="000838BF">
              <w:rPr>
                <w:color w:val="auto"/>
                <w:sz w:val="20"/>
                <w:szCs w:val="20"/>
              </w:rPr>
              <w:t>Başpınar</w:t>
            </w:r>
            <w:proofErr w:type="spellEnd"/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16.30 – 17.20</w:t>
            </w:r>
          </w:p>
        </w:tc>
        <w:tc>
          <w:tcPr>
            <w:tcW w:w="23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512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  <w:tc>
          <w:tcPr>
            <w:tcW w:w="265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lastRenderedPageBreak/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21 EKİM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rFonts w:ascii="Calibri" w:eastAsia="Calibri" w:hAnsi="Calibri" w:cs="Calibri"/>
          <w:color w:val="auto"/>
          <w:sz w:val="28"/>
          <w:szCs w:val="28"/>
        </w:rPr>
        <w:t>I. KURUL 6. HAFTA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24 EKİM 2016 PAZARTESİ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25 EKİM 2016 SALI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26 EKİM 2016 ÇARŞAMBA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tbl>
      <w:tblPr>
        <w:tblW w:w="1191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475"/>
        <w:gridCol w:w="7935"/>
      </w:tblGrid>
      <w:tr w:rsidR="000838BF" w:rsidRPr="000838BF" w:rsidTr="00A5481B">
        <w:tc>
          <w:tcPr>
            <w:tcW w:w="11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27 EKİM 2016 PERŞEMBE</w:t>
            </w:r>
          </w:p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center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  <w:p w:rsidR="000838BF" w:rsidRPr="000838BF" w:rsidRDefault="000838BF" w:rsidP="00A5481B">
            <w:pPr>
              <w:contextualSpacing w:val="0"/>
              <w:jc w:val="center"/>
              <w:rPr>
                <w:color w:val="auto"/>
              </w:rPr>
            </w:pPr>
            <w:r w:rsidRPr="000838BF">
              <w:rPr>
                <w:color w:val="auto"/>
              </w:rPr>
              <w:t>DERS KURULU SINAVI</w:t>
            </w:r>
          </w:p>
          <w:p w:rsidR="000838BF" w:rsidRPr="000838BF" w:rsidRDefault="000838BF" w:rsidP="00A5481B">
            <w:pPr>
              <w:contextualSpacing w:val="0"/>
              <w:jc w:val="center"/>
              <w:rPr>
                <w:color w:val="auto"/>
              </w:rPr>
            </w:pPr>
            <w:r w:rsidRPr="000838BF">
              <w:rPr>
                <w:color w:val="auto"/>
              </w:rPr>
              <w:lastRenderedPageBreak/>
              <w:t>Saat: 9.30</w:t>
            </w:r>
          </w:p>
          <w:p w:rsidR="000838BF" w:rsidRPr="000838BF" w:rsidRDefault="000838BF" w:rsidP="00A5481B">
            <w:pPr>
              <w:contextualSpacing w:val="0"/>
              <w:jc w:val="center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lastRenderedPageBreak/>
              <w:t>11.30 - 12.20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Sınav değerlendirme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Online ortamda yapılacaktır. Kurul sınavı bitiminde başlayacaktır.</w:t>
            </w:r>
          </w:p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Kurul sınavına ilişkin sorular ve doğru seçenekler öğrencilerle paylaşılacaktır. Öğrencilerin geri dönüşleri sağlanacaktır.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</w:p>
    <w:tbl>
      <w:tblPr>
        <w:tblW w:w="119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2330"/>
        <w:gridCol w:w="5154"/>
        <w:gridCol w:w="2673"/>
      </w:tblGrid>
      <w:tr w:rsidR="000838BF" w:rsidRPr="000838BF" w:rsidTr="00A5481B">
        <w:tc>
          <w:tcPr>
            <w:tcW w:w="1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28 EKİM 2016 CUMA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08.30 - 12.20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19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spacing w:line="360" w:lineRule="auto"/>
              <w:contextualSpacing w:val="0"/>
              <w:jc w:val="both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38BF" w:rsidRPr="000838BF" w:rsidTr="00A5481B"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13.30 - 17.20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2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838BF" w:rsidRPr="000838BF" w:rsidRDefault="000838BF" w:rsidP="00A5481B">
            <w:pPr>
              <w:ind w:right="0"/>
              <w:contextualSpacing w:val="0"/>
              <w:rPr>
                <w:color w:val="auto"/>
              </w:rPr>
            </w:pPr>
            <w:r w:rsidRPr="000838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</w:p>
    <w:p w:rsidR="000838BF" w:rsidRPr="000838BF" w:rsidRDefault="000838BF" w:rsidP="000838BF">
      <w:pPr>
        <w:spacing w:line="360" w:lineRule="auto"/>
        <w:contextualSpacing w:val="0"/>
        <w:jc w:val="center"/>
        <w:rPr>
          <w:color w:val="auto"/>
        </w:rPr>
      </w:pPr>
      <w:r w:rsidRPr="000838BF">
        <w:rPr>
          <w:color w:val="auto"/>
          <w:sz w:val="20"/>
          <w:szCs w:val="20"/>
        </w:rPr>
        <w:t>Not: Ders saatlerinde güncel değişiklikler koordinatörlük tarafından yapılabilir.</w:t>
      </w:r>
      <w:hyperlink r:id="rId7" w:anchor="!/url=program.php">
        <w:r w:rsidRPr="000838BF">
          <w:rPr>
            <w:color w:val="auto"/>
            <w:sz w:val="20"/>
            <w:szCs w:val="20"/>
          </w:rPr>
          <w:t xml:space="preserve"> </w:t>
        </w:r>
      </w:hyperlink>
      <w:hyperlink r:id="rId8" w:anchor="!/url=program.php">
        <w:r w:rsidRPr="000838BF">
          <w:rPr>
            <w:color w:val="auto"/>
            <w:sz w:val="20"/>
            <w:szCs w:val="20"/>
            <w:u w:val="single"/>
          </w:rPr>
          <w:t>https://metinciris.com.tr/#!/url=program.php</w:t>
        </w:r>
      </w:hyperlink>
      <w:r w:rsidRPr="000838BF">
        <w:rPr>
          <w:color w:val="auto"/>
          <w:sz w:val="20"/>
          <w:szCs w:val="20"/>
        </w:rPr>
        <w:t xml:space="preserve"> adresinden değişiklikler takip edilebilir. </w:t>
      </w:r>
    </w:p>
    <w:p w:rsidR="000838BF" w:rsidRPr="000838BF" w:rsidRDefault="000838BF" w:rsidP="000838BF">
      <w:pPr>
        <w:spacing w:line="360" w:lineRule="auto"/>
        <w:contextualSpacing w:val="0"/>
        <w:jc w:val="both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 </w:t>
      </w:r>
    </w:p>
    <w:p w:rsidR="000838BF" w:rsidRPr="000838BF" w:rsidRDefault="000838BF" w:rsidP="000838BF">
      <w:pPr>
        <w:contextualSpacing w:val="0"/>
        <w:rPr>
          <w:color w:val="auto"/>
        </w:rPr>
      </w:pPr>
      <w:r w:rsidRPr="000838BF">
        <w:rPr>
          <w:color w:val="auto"/>
          <w:sz w:val="20"/>
          <w:szCs w:val="20"/>
        </w:rPr>
        <w:t xml:space="preserve">Dönem 3 </w:t>
      </w:r>
      <w:hyperlink r:id="rId9">
        <w:r w:rsidRPr="000838BF">
          <w:rPr>
            <w:color w:val="auto"/>
            <w:sz w:val="20"/>
            <w:szCs w:val="20"/>
            <w:u w:val="single"/>
          </w:rPr>
          <w:t xml:space="preserve">Ders </w:t>
        </w:r>
        <w:proofErr w:type="spellStart"/>
        <w:r w:rsidRPr="000838BF">
          <w:rPr>
            <w:color w:val="auto"/>
            <w:sz w:val="20"/>
            <w:szCs w:val="20"/>
            <w:u w:val="single"/>
          </w:rPr>
          <w:t>programlarınn</w:t>
        </w:r>
        <w:proofErr w:type="spellEnd"/>
        <w:r w:rsidRPr="000838BF">
          <w:rPr>
            <w:color w:val="auto"/>
            <w:sz w:val="20"/>
            <w:szCs w:val="20"/>
            <w:u w:val="single"/>
          </w:rPr>
          <w:t xml:space="preserve"> internete yüklenecek </w:t>
        </w:r>
        <w:proofErr w:type="spellStart"/>
        <w:r w:rsidRPr="000838BF">
          <w:rPr>
            <w:color w:val="auto"/>
            <w:sz w:val="20"/>
            <w:szCs w:val="20"/>
            <w:u w:val="single"/>
          </w:rPr>
          <w:t>word</w:t>
        </w:r>
        <w:proofErr w:type="spellEnd"/>
        <w:r w:rsidRPr="000838BF">
          <w:rPr>
            <w:color w:val="auto"/>
            <w:sz w:val="20"/>
            <w:szCs w:val="20"/>
            <w:u w:val="single"/>
          </w:rPr>
          <w:t xml:space="preserve"> belgesine ulaşmak için lütfen tıklayın.</w:t>
        </w:r>
      </w:hyperlink>
    </w:p>
    <w:p w:rsidR="000838BF" w:rsidRPr="000838BF" w:rsidRDefault="000838BF" w:rsidP="000838BF">
      <w:pPr>
        <w:contextualSpacing w:val="0"/>
        <w:rPr>
          <w:color w:val="auto"/>
        </w:rPr>
      </w:pPr>
    </w:p>
    <w:p w:rsidR="00606E20" w:rsidRPr="000838BF" w:rsidRDefault="00606E20" w:rsidP="000838BF">
      <w:pPr>
        <w:spacing w:line="360" w:lineRule="auto"/>
        <w:ind w:right="1"/>
        <w:contextualSpacing w:val="0"/>
        <w:rPr>
          <w:rFonts w:ascii="Calibri" w:hAnsi="Calibri" w:cs="Calibri"/>
          <w:color w:val="auto"/>
          <w:sz w:val="28"/>
          <w:szCs w:val="28"/>
          <w:highlight w:val="white"/>
        </w:rPr>
      </w:pPr>
    </w:p>
    <w:sectPr w:rsidR="00606E20" w:rsidRPr="000838BF" w:rsidSect="00806800">
      <w:footerReference w:type="default" r:id="rId10"/>
      <w:pgSz w:w="13041" w:h="16840" w:code="9"/>
      <w:pgMar w:top="567" w:right="567" w:bottom="567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66" w:rsidRDefault="00FA3C66">
      <w:pPr>
        <w:spacing w:line="240" w:lineRule="auto"/>
        <w:rPr>
          <w:highlight w:val="white"/>
        </w:rPr>
      </w:pPr>
      <w:r>
        <w:rPr>
          <w:highlight w:val="white"/>
        </w:rPr>
        <w:separator/>
      </w:r>
    </w:p>
  </w:endnote>
  <w:endnote w:type="continuationSeparator" w:id="0">
    <w:p w:rsidR="00FA3C66" w:rsidRDefault="00FA3C66">
      <w:pPr>
        <w:spacing w:line="240" w:lineRule="auto"/>
        <w:rPr>
          <w:highlight w:val="white"/>
        </w:rPr>
      </w:pPr>
      <w:r>
        <w:rPr>
          <w:highlight w:val="whit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D4" w:rsidRDefault="003B1DD4">
    <w:pPr>
      <w:spacing w:line="360" w:lineRule="auto"/>
      <w:contextualSpacing w:val="0"/>
      <w:jc w:val="both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66" w:rsidRDefault="00FA3C66">
      <w:pPr>
        <w:spacing w:line="240" w:lineRule="auto"/>
        <w:rPr>
          <w:highlight w:val="white"/>
        </w:rPr>
      </w:pPr>
      <w:r>
        <w:rPr>
          <w:highlight w:val="white"/>
        </w:rPr>
        <w:separator/>
      </w:r>
    </w:p>
  </w:footnote>
  <w:footnote w:type="continuationSeparator" w:id="0">
    <w:p w:rsidR="00FA3C66" w:rsidRDefault="00FA3C66">
      <w:pPr>
        <w:spacing w:line="240" w:lineRule="auto"/>
        <w:rPr>
          <w:highlight w:val="white"/>
        </w:rPr>
      </w:pPr>
      <w:r>
        <w:rPr>
          <w:highlight w:val="whit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0A"/>
    <w:multiLevelType w:val="hybridMultilevel"/>
    <w:tmpl w:val="67EAE44C"/>
    <w:lvl w:ilvl="0" w:tplc="8252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4"/>
    <w:rsid w:val="000838BF"/>
    <w:rsid w:val="0014790B"/>
    <w:rsid w:val="002001CD"/>
    <w:rsid w:val="002849E8"/>
    <w:rsid w:val="00312C5C"/>
    <w:rsid w:val="003B1DD4"/>
    <w:rsid w:val="00606E20"/>
    <w:rsid w:val="00806800"/>
    <w:rsid w:val="00833CDA"/>
    <w:rsid w:val="009526D2"/>
    <w:rsid w:val="00A26001"/>
    <w:rsid w:val="00CA2859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C74DFC-B2CE-4617-BEBC-B3A1875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FF0000"/>
        <w:sz w:val="24"/>
        <w:szCs w:val="24"/>
        <w:lang w:val="tr-TR" w:eastAsia="tr-TR" w:bidi="ar-SA"/>
      </w:rPr>
    </w:rPrDefault>
    <w:pPrDefault>
      <w:pPr>
        <w:widowControl w:val="0"/>
        <w:spacing w:line="276" w:lineRule="auto"/>
        <w:ind w:right="-42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"/>
    </w:rPr>
  </w:style>
  <w:style w:type="paragraph" w:styleId="Balk1">
    <w:name w:val="heading 1"/>
    <w:basedOn w:val="Normal"/>
    <w:next w:val="Normal"/>
    <w:link w:val="Balk1Char"/>
    <w:pPr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"/>
    <w:next w:val="Normal"/>
    <w:link w:val="Balk2Char"/>
    <w:pPr>
      <w:spacing w:before="360" w:after="80"/>
      <w:outlineLvl w:val="1"/>
    </w:pPr>
    <w:rPr>
      <w:sz w:val="36"/>
      <w:szCs w:val="36"/>
    </w:rPr>
  </w:style>
  <w:style w:type="paragraph" w:styleId="Balk3">
    <w:name w:val="heading 3"/>
    <w:basedOn w:val="Normal"/>
    <w:next w:val="Normal"/>
    <w:link w:val="Balk3Char"/>
    <w:pPr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"/>
    <w:next w:val="Normal"/>
    <w:link w:val="Balk4Char"/>
    <w:pPr>
      <w:spacing w:before="240" w:after="40"/>
      <w:outlineLvl w:val="3"/>
    </w:pPr>
  </w:style>
  <w:style w:type="paragraph" w:styleId="Balk5">
    <w:name w:val="heading 5"/>
    <w:basedOn w:val="Normal"/>
    <w:next w:val="Normal"/>
    <w:link w:val="Balk5Char"/>
    <w:pPr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link w:val="Balk6Char"/>
    <w:pPr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table" w:customStyle="1" w:styleId="TableNormal">
    <w:name w:val="Table Normal"/>
    <w:rPr>
      <w:rFonts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pPr>
      <w:spacing w:before="480" w:after="120"/>
    </w:pPr>
    <w:rPr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 w:cstheme="majorBidi"/>
    </w:rPr>
  </w:style>
  <w:style w:type="table" w:customStyle="1" w:styleId="Stil">
    <w:name w:val="Stil"/>
    <w:basedOn w:val="TableNormal"/>
    <w:tblPr>
      <w:tblStyleRowBandSize w:val="1"/>
      <w:tblStyleColBandSize w:val="1"/>
    </w:tblPr>
  </w:style>
  <w:style w:type="table" w:customStyle="1" w:styleId="Stil29">
    <w:name w:val="Stil29"/>
    <w:basedOn w:val="TableNormal"/>
    <w:tblPr>
      <w:tblStyleRowBandSize w:val="1"/>
      <w:tblStyleColBandSize w:val="1"/>
    </w:tblPr>
  </w:style>
  <w:style w:type="table" w:customStyle="1" w:styleId="Stil28">
    <w:name w:val="Stil28"/>
    <w:basedOn w:val="TableNormal"/>
    <w:tblPr>
      <w:tblStyleRowBandSize w:val="1"/>
      <w:tblStyleColBandSize w:val="1"/>
    </w:tblPr>
  </w:style>
  <w:style w:type="table" w:customStyle="1" w:styleId="Stil27">
    <w:name w:val="Stil27"/>
    <w:basedOn w:val="TableNormal"/>
    <w:tblPr>
      <w:tblStyleRowBandSize w:val="1"/>
      <w:tblStyleColBandSize w:val="1"/>
    </w:tblPr>
  </w:style>
  <w:style w:type="table" w:customStyle="1" w:styleId="Stil26">
    <w:name w:val="Stil26"/>
    <w:basedOn w:val="TableNormal"/>
    <w:tblPr>
      <w:tblStyleRowBandSize w:val="1"/>
      <w:tblStyleColBandSize w:val="1"/>
    </w:tblPr>
  </w:style>
  <w:style w:type="table" w:customStyle="1" w:styleId="Stil25">
    <w:name w:val="Stil25"/>
    <w:basedOn w:val="TableNormal"/>
    <w:tblPr>
      <w:tblStyleRowBandSize w:val="1"/>
      <w:tblStyleColBandSize w:val="1"/>
    </w:tblPr>
  </w:style>
  <w:style w:type="table" w:customStyle="1" w:styleId="Stil24">
    <w:name w:val="Stil24"/>
    <w:basedOn w:val="TableNormal"/>
    <w:tblPr>
      <w:tblStyleRowBandSize w:val="1"/>
      <w:tblStyleColBandSize w:val="1"/>
    </w:tblPr>
  </w:style>
  <w:style w:type="table" w:customStyle="1" w:styleId="Stil23">
    <w:name w:val="Stil23"/>
    <w:basedOn w:val="TableNormal"/>
    <w:tblPr>
      <w:tblStyleRowBandSize w:val="1"/>
      <w:tblStyleColBandSize w:val="1"/>
    </w:tblPr>
  </w:style>
  <w:style w:type="table" w:customStyle="1" w:styleId="Stil22">
    <w:name w:val="Stil22"/>
    <w:basedOn w:val="TableNormal"/>
    <w:tblPr>
      <w:tblStyleRowBandSize w:val="1"/>
      <w:tblStyleColBandSize w:val="1"/>
    </w:tblPr>
  </w:style>
  <w:style w:type="table" w:customStyle="1" w:styleId="Stil21">
    <w:name w:val="Stil21"/>
    <w:basedOn w:val="TableNormal"/>
    <w:tblPr>
      <w:tblStyleRowBandSize w:val="1"/>
      <w:tblStyleColBandSize w:val="1"/>
    </w:tblPr>
  </w:style>
  <w:style w:type="table" w:customStyle="1" w:styleId="Stil20">
    <w:name w:val="Stil20"/>
    <w:basedOn w:val="TableNormal"/>
    <w:tblPr>
      <w:tblStyleRowBandSize w:val="1"/>
      <w:tblStyleColBandSize w:val="1"/>
    </w:tblPr>
  </w:style>
  <w:style w:type="table" w:customStyle="1" w:styleId="Stil19">
    <w:name w:val="Stil19"/>
    <w:basedOn w:val="TableNormal"/>
    <w:tblPr>
      <w:tblStyleRowBandSize w:val="1"/>
      <w:tblStyleColBandSize w:val="1"/>
    </w:tblPr>
  </w:style>
  <w:style w:type="table" w:customStyle="1" w:styleId="Stil18">
    <w:name w:val="Stil18"/>
    <w:basedOn w:val="TableNormal"/>
    <w:tblPr>
      <w:tblStyleRowBandSize w:val="1"/>
      <w:tblStyleColBandSize w:val="1"/>
    </w:tblPr>
  </w:style>
  <w:style w:type="table" w:customStyle="1" w:styleId="Stil17">
    <w:name w:val="Stil17"/>
    <w:basedOn w:val="TableNormal"/>
    <w:tblPr>
      <w:tblStyleRowBandSize w:val="1"/>
      <w:tblStyleColBandSize w:val="1"/>
    </w:tblPr>
  </w:style>
  <w:style w:type="table" w:customStyle="1" w:styleId="Stil16">
    <w:name w:val="Stil16"/>
    <w:basedOn w:val="TableNormal"/>
    <w:tblPr>
      <w:tblStyleRowBandSize w:val="1"/>
      <w:tblStyleColBandSize w:val="1"/>
    </w:tblPr>
  </w:style>
  <w:style w:type="table" w:customStyle="1" w:styleId="Stil15">
    <w:name w:val="Stil15"/>
    <w:basedOn w:val="TableNormal"/>
    <w:tblPr>
      <w:tblStyleRowBandSize w:val="1"/>
      <w:tblStyleColBandSize w:val="1"/>
    </w:tblPr>
  </w:style>
  <w:style w:type="table" w:customStyle="1" w:styleId="Stil14">
    <w:name w:val="Stil14"/>
    <w:basedOn w:val="TableNormal"/>
    <w:tblPr>
      <w:tblStyleRowBandSize w:val="1"/>
      <w:tblStyleColBandSize w:val="1"/>
    </w:tblPr>
  </w:style>
  <w:style w:type="table" w:customStyle="1" w:styleId="Stil13">
    <w:name w:val="Stil13"/>
    <w:basedOn w:val="TableNormal"/>
    <w:tblPr>
      <w:tblStyleRowBandSize w:val="1"/>
      <w:tblStyleColBandSize w:val="1"/>
    </w:tblPr>
  </w:style>
  <w:style w:type="table" w:customStyle="1" w:styleId="Stil12">
    <w:name w:val="Stil12"/>
    <w:basedOn w:val="TableNormal"/>
    <w:tblPr>
      <w:tblStyleRowBandSize w:val="1"/>
      <w:tblStyleColBandSize w:val="1"/>
    </w:tblPr>
  </w:style>
  <w:style w:type="table" w:customStyle="1" w:styleId="Stil11">
    <w:name w:val="Stil11"/>
    <w:basedOn w:val="TableNormal"/>
    <w:tblPr>
      <w:tblStyleRowBandSize w:val="1"/>
      <w:tblStyleColBandSize w:val="1"/>
    </w:tblPr>
  </w:style>
  <w:style w:type="table" w:customStyle="1" w:styleId="Stil10">
    <w:name w:val="Stil10"/>
    <w:basedOn w:val="TableNormal"/>
    <w:tblPr>
      <w:tblStyleRowBandSize w:val="1"/>
      <w:tblStyleColBandSize w:val="1"/>
    </w:tblPr>
  </w:style>
  <w:style w:type="table" w:customStyle="1" w:styleId="Stil9">
    <w:name w:val="Stil9"/>
    <w:basedOn w:val="TableNormal"/>
    <w:tblPr>
      <w:tblStyleRowBandSize w:val="1"/>
      <w:tblStyleColBandSize w:val="1"/>
    </w:tblPr>
  </w:style>
  <w:style w:type="table" w:customStyle="1" w:styleId="Stil8">
    <w:name w:val="Stil8"/>
    <w:basedOn w:val="TableNormal"/>
    <w:tblPr>
      <w:tblStyleRowBandSize w:val="1"/>
      <w:tblStyleColBandSize w:val="1"/>
    </w:tblPr>
  </w:style>
  <w:style w:type="table" w:customStyle="1" w:styleId="Stil7">
    <w:name w:val="Stil7"/>
    <w:basedOn w:val="TableNormal"/>
    <w:tblPr>
      <w:tblStyleRowBandSize w:val="1"/>
      <w:tblStyleColBandSize w:val="1"/>
    </w:tblPr>
  </w:style>
  <w:style w:type="table" w:customStyle="1" w:styleId="Stil6">
    <w:name w:val="Stil6"/>
    <w:basedOn w:val="TableNormal"/>
    <w:tblPr>
      <w:tblStyleRowBandSize w:val="1"/>
      <w:tblStyleColBandSize w:val="1"/>
    </w:tblPr>
  </w:style>
  <w:style w:type="table" w:customStyle="1" w:styleId="Stil5">
    <w:name w:val="Stil5"/>
    <w:basedOn w:val="TableNormal"/>
    <w:tblPr>
      <w:tblStyleRowBandSize w:val="1"/>
      <w:tblStyleColBandSize w:val="1"/>
    </w:tblPr>
  </w:style>
  <w:style w:type="table" w:customStyle="1" w:styleId="Stil4">
    <w:name w:val="Stil4"/>
    <w:basedOn w:val="TableNormal"/>
    <w:tblPr>
      <w:tblStyleRowBandSize w:val="1"/>
      <w:tblStyleColBandSize w:val="1"/>
    </w:tblPr>
  </w:style>
  <w:style w:type="table" w:customStyle="1" w:styleId="Stil3">
    <w:name w:val="Stil3"/>
    <w:basedOn w:val="TableNormal"/>
    <w:tblPr>
      <w:tblStyleRowBandSize w:val="1"/>
      <w:tblStyleColBandSize w:val="1"/>
    </w:tblPr>
  </w:style>
  <w:style w:type="table" w:customStyle="1" w:styleId="Stil2">
    <w:name w:val="Stil2"/>
    <w:basedOn w:val="TableNormal"/>
    <w:tblPr>
      <w:tblStyleRowBandSize w:val="1"/>
      <w:tblStyleColBandSize w:val="1"/>
    </w:tblPr>
  </w:style>
  <w:style w:type="table" w:customStyle="1" w:styleId="Stil1">
    <w:name w:val="Stil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inciris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inciris.com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olderview?id=0B9-4zJPaC9htai1KSFVFbjRFQ1k&amp;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Çiriş</dc:creator>
  <cp:keywords/>
  <dc:description/>
  <cp:lastModifiedBy>user</cp:lastModifiedBy>
  <cp:revision>3</cp:revision>
  <dcterms:created xsi:type="dcterms:W3CDTF">2016-09-20T09:20:00Z</dcterms:created>
  <dcterms:modified xsi:type="dcterms:W3CDTF">2016-09-20T09:20:00Z</dcterms:modified>
</cp:coreProperties>
</file>