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B9DDC" w14:textId="77777777" w:rsidR="00FC31C4" w:rsidRDefault="00FC31C4" w:rsidP="00FC31C4">
      <w:pPr>
        <w:spacing w:line="360" w:lineRule="auto"/>
        <w:jc w:val="center"/>
        <w:rPr>
          <w:rFonts w:ascii="Times New Roman" w:eastAsia="Aptos" w:hAnsi="Times New Roman" w:cs="Times New Roman"/>
          <w:b/>
          <w:bCs/>
          <w:color w:val="4C94D8" w:themeColor="text2" w:themeTint="80"/>
          <w:kern w:val="2"/>
          <w:sz w:val="24"/>
          <w:szCs w:val="24"/>
          <w:lang w:eastAsia="en-US"/>
          <w14:ligatures w14:val="standardContextual"/>
        </w:rPr>
      </w:pPr>
    </w:p>
    <w:p w14:paraId="7D98553A" w14:textId="77777777" w:rsidR="00FC31C4" w:rsidRDefault="00FC31C4" w:rsidP="00FC31C4">
      <w:pPr>
        <w:spacing w:line="360" w:lineRule="auto"/>
        <w:jc w:val="center"/>
        <w:rPr>
          <w:rFonts w:ascii="Times New Roman" w:eastAsia="Aptos" w:hAnsi="Times New Roman" w:cs="Times New Roman"/>
          <w:b/>
          <w:bCs/>
          <w:color w:val="4C94D8" w:themeColor="text2" w:themeTint="80"/>
          <w:kern w:val="2"/>
          <w:sz w:val="24"/>
          <w:szCs w:val="24"/>
          <w:lang w:eastAsia="en-US"/>
          <w14:ligatures w14:val="standardContextual"/>
        </w:rPr>
      </w:pPr>
    </w:p>
    <w:p w14:paraId="5066F694" w14:textId="17FC6272" w:rsidR="00FC31C4" w:rsidRPr="00FC31C4" w:rsidRDefault="00FC31C4" w:rsidP="00FC31C4">
      <w:pPr>
        <w:spacing w:line="360" w:lineRule="auto"/>
        <w:jc w:val="center"/>
        <w:rPr>
          <w:rFonts w:ascii="Times New Roman" w:eastAsia="Aptos" w:hAnsi="Times New Roman" w:cs="Times New Roman"/>
          <w:b/>
          <w:bCs/>
          <w:color w:val="4C94D8" w:themeColor="text2" w:themeTint="80"/>
          <w:kern w:val="2"/>
          <w:sz w:val="24"/>
          <w:szCs w:val="24"/>
          <w:lang w:eastAsia="en-US"/>
          <w14:ligatures w14:val="standardContextual"/>
        </w:rPr>
      </w:pPr>
      <w:r w:rsidRPr="00FC31C4">
        <w:rPr>
          <w:rFonts w:ascii="Times New Roman" w:eastAsia="Aptos" w:hAnsi="Times New Roman" w:cs="Times New Roman"/>
          <w:b/>
          <w:bCs/>
          <w:color w:val="4C94D8" w:themeColor="text2" w:themeTint="80"/>
          <w:kern w:val="2"/>
          <w:sz w:val="24"/>
          <w:szCs w:val="24"/>
          <w:lang w:eastAsia="en-US"/>
          <w14:ligatures w14:val="standardContextual"/>
        </w:rPr>
        <w:t>SÜLEYMAN DEMİREL ÜNİVERSİTESİ TIP FAKÜLTESİ V. İNTÖRN ÇALIŞTAYI SONUÇ RAPORU</w:t>
      </w:r>
    </w:p>
    <w:p w14:paraId="5F3D34A8" w14:textId="77777777" w:rsidR="00FC31C4" w:rsidRDefault="00FC31C4" w:rsidP="00FC31C4">
      <w:pPr>
        <w:spacing w:line="360" w:lineRule="auto"/>
        <w:jc w:val="center"/>
        <w:rPr>
          <w:rFonts w:ascii="Times New Roman" w:eastAsia="Aptos" w:hAnsi="Times New Roman" w:cs="Times New Roman"/>
          <w:b/>
          <w:bCs/>
          <w:color w:val="4C94D8" w:themeColor="text2" w:themeTint="80"/>
          <w:kern w:val="2"/>
          <w:sz w:val="24"/>
          <w:szCs w:val="24"/>
          <w:lang w:eastAsia="en-US"/>
          <w14:ligatures w14:val="standardContextual"/>
        </w:rPr>
      </w:pPr>
      <w:r w:rsidRPr="00FC31C4">
        <w:rPr>
          <w:rFonts w:ascii="Times New Roman" w:eastAsia="Aptos" w:hAnsi="Times New Roman" w:cs="Times New Roman"/>
          <w:b/>
          <w:bCs/>
          <w:color w:val="4C94D8" w:themeColor="text2" w:themeTint="80"/>
          <w:kern w:val="2"/>
          <w:sz w:val="24"/>
          <w:szCs w:val="24"/>
          <w:lang w:eastAsia="en-US"/>
          <w14:ligatures w14:val="standardContextual"/>
        </w:rPr>
        <w:t xml:space="preserve">Raportörler </w:t>
      </w:r>
    </w:p>
    <w:p w14:paraId="61FAA029" w14:textId="29FEAAE6" w:rsidR="00FC31C4" w:rsidRDefault="00FC31C4" w:rsidP="00FC31C4">
      <w:pPr>
        <w:spacing w:line="360" w:lineRule="auto"/>
        <w:jc w:val="center"/>
        <w:rPr>
          <w:rFonts w:ascii="Times New Roman" w:eastAsia="Aptos" w:hAnsi="Times New Roman" w:cs="Times New Roman"/>
          <w:b/>
          <w:bCs/>
          <w:color w:val="4C94D8" w:themeColor="text2" w:themeTint="80"/>
          <w:kern w:val="2"/>
          <w:sz w:val="24"/>
          <w:szCs w:val="24"/>
          <w:lang w:eastAsia="en-US"/>
          <w14:ligatures w14:val="standardContextual"/>
        </w:rPr>
      </w:pPr>
      <w:r>
        <w:rPr>
          <w:rFonts w:ascii="Times New Roman" w:eastAsia="Aptos" w:hAnsi="Times New Roman" w:cs="Times New Roman"/>
          <w:b/>
          <w:bCs/>
          <w:color w:val="4C94D8" w:themeColor="text2" w:themeTint="80"/>
          <w:kern w:val="2"/>
          <w:sz w:val="24"/>
          <w:szCs w:val="24"/>
          <w:lang w:eastAsia="en-US"/>
          <w14:ligatures w14:val="standardContextual"/>
        </w:rPr>
        <w:t>Prof</w:t>
      </w:r>
      <w:r w:rsidRPr="00FC31C4">
        <w:rPr>
          <w:rFonts w:ascii="Times New Roman" w:eastAsia="Aptos" w:hAnsi="Times New Roman" w:cs="Times New Roman"/>
          <w:b/>
          <w:bCs/>
          <w:color w:val="4C94D8" w:themeColor="text2" w:themeTint="80"/>
          <w:kern w:val="2"/>
          <w:sz w:val="24"/>
          <w:szCs w:val="24"/>
          <w:lang w:eastAsia="en-US"/>
          <w14:ligatures w14:val="standardContextual"/>
        </w:rPr>
        <w:t xml:space="preserve">. Dr. Özgür ÖNAL </w:t>
      </w:r>
    </w:p>
    <w:p w14:paraId="1C53F9D0" w14:textId="1F40AC0A" w:rsidR="00FC31C4" w:rsidRDefault="00FC31C4" w:rsidP="00FC31C4">
      <w:pPr>
        <w:spacing w:line="360" w:lineRule="auto"/>
        <w:jc w:val="center"/>
        <w:rPr>
          <w:rFonts w:ascii="Times New Roman" w:eastAsia="Aptos" w:hAnsi="Times New Roman" w:cs="Times New Roman"/>
          <w:b/>
          <w:bCs/>
          <w:color w:val="4C94D8" w:themeColor="text2" w:themeTint="80"/>
          <w:kern w:val="2"/>
          <w:sz w:val="24"/>
          <w:szCs w:val="24"/>
          <w:lang w:eastAsia="en-US"/>
          <w14:ligatures w14:val="standardContextual"/>
        </w:rPr>
      </w:pPr>
      <w:r w:rsidRPr="00FC31C4">
        <w:rPr>
          <w:rFonts w:ascii="Times New Roman" w:eastAsia="Aptos" w:hAnsi="Times New Roman" w:cs="Times New Roman"/>
          <w:b/>
          <w:bCs/>
          <w:color w:val="4C94D8" w:themeColor="text2" w:themeTint="80"/>
          <w:kern w:val="2"/>
          <w:sz w:val="24"/>
          <w:szCs w:val="24"/>
          <w:lang w:eastAsia="en-US"/>
          <w14:ligatures w14:val="standardContextual"/>
        </w:rPr>
        <w:t xml:space="preserve">Doç. Dr. </w:t>
      </w:r>
      <w:r>
        <w:rPr>
          <w:rFonts w:ascii="Times New Roman" w:eastAsia="Aptos" w:hAnsi="Times New Roman" w:cs="Times New Roman"/>
          <w:b/>
          <w:bCs/>
          <w:color w:val="4C94D8" w:themeColor="text2" w:themeTint="80"/>
          <w:kern w:val="2"/>
          <w:sz w:val="24"/>
          <w:szCs w:val="24"/>
          <w:lang w:eastAsia="en-US"/>
          <w14:ligatures w14:val="standardContextual"/>
        </w:rPr>
        <w:t>Mehtap SAVRAN</w:t>
      </w:r>
    </w:p>
    <w:p w14:paraId="07465DC9" w14:textId="7A670DD3" w:rsidR="00FE3038" w:rsidRDefault="00FE3038" w:rsidP="00FC31C4">
      <w:pPr>
        <w:spacing w:line="360" w:lineRule="auto"/>
        <w:jc w:val="center"/>
        <w:rPr>
          <w:rFonts w:ascii="Times New Roman" w:eastAsia="Aptos" w:hAnsi="Times New Roman" w:cs="Times New Roman"/>
          <w:b/>
          <w:bCs/>
          <w:color w:val="4C94D8" w:themeColor="text2" w:themeTint="80"/>
          <w:kern w:val="2"/>
          <w:sz w:val="24"/>
          <w:szCs w:val="24"/>
          <w:lang w:eastAsia="en-US"/>
          <w14:ligatures w14:val="standardContextual"/>
        </w:rPr>
      </w:pPr>
      <w:r w:rsidRPr="00FE3038">
        <w:rPr>
          <w:rFonts w:ascii="Times New Roman" w:eastAsia="Aptos" w:hAnsi="Times New Roman" w:cs="Times New Roman"/>
          <w:b/>
          <w:bCs/>
          <w:color w:val="4C94D8" w:themeColor="text2" w:themeTint="80"/>
          <w:kern w:val="2"/>
          <w:sz w:val="24"/>
          <w:szCs w:val="24"/>
          <w:lang w:eastAsia="en-US"/>
          <w14:ligatures w14:val="standardContextual"/>
        </w:rPr>
        <w:t>Dr. Öğr. Üyesi Furkan Çağrı OĞUZLAR</w:t>
      </w:r>
    </w:p>
    <w:p w14:paraId="3846A4E3" w14:textId="5CA352D7" w:rsidR="00E1173B" w:rsidRDefault="00FC31C4" w:rsidP="00FC31C4">
      <w:pPr>
        <w:spacing w:line="360" w:lineRule="auto"/>
        <w:jc w:val="center"/>
        <w:rPr>
          <w:rFonts w:ascii="Times New Roman" w:eastAsia="Aptos" w:hAnsi="Times New Roman" w:cs="Times New Roman"/>
          <w:b/>
          <w:bCs/>
          <w:color w:val="4C94D8" w:themeColor="text2" w:themeTint="80"/>
          <w:kern w:val="2"/>
          <w:sz w:val="24"/>
          <w:szCs w:val="24"/>
          <w:lang w:eastAsia="en-US"/>
          <w14:ligatures w14:val="standardContextual"/>
        </w:rPr>
      </w:pPr>
      <w:r w:rsidRPr="00FC31C4">
        <w:rPr>
          <w:rFonts w:ascii="Times New Roman" w:eastAsia="Aptos" w:hAnsi="Times New Roman" w:cs="Times New Roman"/>
          <w:b/>
          <w:bCs/>
          <w:color w:val="4C94D8" w:themeColor="text2" w:themeTint="80"/>
          <w:kern w:val="2"/>
          <w:sz w:val="24"/>
          <w:szCs w:val="24"/>
          <w:lang w:eastAsia="en-US"/>
          <w14:ligatures w14:val="standardContextual"/>
        </w:rPr>
        <w:t>Arş. Gör. Furkan SEVİMBİGA</w:t>
      </w:r>
    </w:p>
    <w:p w14:paraId="04AE8677" w14:textId="7D168B89" w:rsidR="00FC31C4" w:rsidRDefault="00FC31C4" w:rsidP="00FC31C4">
      <w:pPr>
        <w:spacing w:line="360" w:lineRule="auto"/>
        <w:jc w:val="center"/>
        <w:rPr>
          <w:rFonts w:ascii="Times New Roman" w:eastAsia="Aptos" w:hAnsi="Times New Roman" w:cs="Times New Roman"/>
          <w:b/>
          <w:bCs/>
          <w:color w:val="4C94D8" w:themeColor="text2" w:themeTint="80"/>
          <w:kern w:val="2"/>
          <w:sz w:val="24"/>
          <w:szCs w:val="24"/>
          <w:lang w:eastAsia="en-US"/>
          <w14:ligatures w14:val="standardContextual"/>
        </w:rPr>
      </w:pPr>
      <w:r w:rsidRPr="00FC31C4">
        <w:rPr>
          <w:rFonts w:ascii="Times New Roman" w:eastAsia="Aptos" w:hAnsi="Times New Roman" w:cs="Times New Roman"/>
          <w:b/>
          <w:bCs/>
          <w:color w:val="4C94D8" w:themeColor="text2" w:themeTint="80"/>
          <w:kern w:val="2"/>
          <w:sz w:val="24"/>
          <w:szCs w:val="24"/>
          <w:lang w:eastAsia="en-US"/>
          <w14:ligatures w14:val="standardContextual"/>
        </w:rPr>
        <w:t>Arş. Gör. Hasan Kürşat İNCİ</w:t>
      </w:r>
    </w:p>
    <w:p w14:paraId="58AB9B2C" w14:textId="68E42488" w:rsidR="00FC31C4" w:rsidRPr="00FC31C4" w:rsidRDefault="00FC31C4" w:rsidP="00FC31C4">
      <w:pPr>
        <w:spacing w:line="360" w:lineRule="auto"/>
        <w:jc w:val="center"/>
        <w:rPr>
          <w:rFonts w:ascii="Times New Roman" w:eastAsia="Aptos" w:hAnsi="Times New Roman" w:cs="Times New Roman"/>
          <w:b/>
          <w:bCs/>
          <w:color w:val="4C94D8" w:themeColor="text2" w:themeTint="80"/>
          <w:kern w:val="2"/>
          <w:sz w:val="24"/>
          <w:szCs w:val="24"/>
          <w:lang w:eastAsia="en-US"/>
          <w14:ligatures w14:val="standardContextual"/>
        </w:rPr>
      </w:pPr>
      <w:r w:rsidRPr="00FC31C4">
        <w:rPr>
          <w:rFonts w:ascii="Times New Roman" w:eastAsia="Aptos" w:hAnsi="Times New Roman" w:cs="Times New Roman"/>
          <w:b/>
          <w:bCs/>
          <w:color w:val="4C94D8" w:themeColor="text2" w:themeTint="80"/>
          <w:kern w:val="2"/>
          <w:sz w:val="24"/>
          <w:szCs w:val="24"/>
          <w:lang w:eastAsia="en-US"/>
          <w14:ligatures w14:val="standardContextual"/>
        </w:rPr>
        <w:t xml:space="preserve">Arş. Gör. </w:t>
      </w:r>
      <w:r>
        <w:rPr>
          <w:rFonts w:ascii="Times New Roman" w:eastAsia="Aptos" w:hAnsi="Times New Roman" w:cs="Times New Roman"/>
          <w:b/>
          <w:bCs/>
          <w:color w:val="4C94D8" w:themeColor="text2" w:themeTint="80"/>
          <w:kern w:val="2"/>
          <w:sz w:val="24"/>
          <w:szCs w:val="24"/>
          <w:lang w:eastAsia="en-US"/>
          <w14:ligatures w14:val="standardContextual"/>
        </w:rPr>
        <w:t xml:space="preserve">Ayşegül </w:t>
      </w:r>
      <w:r w:rsidRPr="00FC31C4">
        <w:rPr>
          <w:rFonts w:ascii="Times New Roman" w:eastAsia="Aptos" w:hAnsi="Times New Roman" w:cs="Times New Roman"/>
          <w:b/>
          <w:bCs/>
          <w:color w:val="4C94D8" w:themeColor="text2" w:themeTint="80"/>
          <w:kern w:val="2"/>
          <w:sz w:val="24"/>
          <w:szCs w:val="24"/>
          <w:lang w:eastAsia="en-US"/>
          <w14:ligatures w14:val="standardContextual"/>
        </w:rPr>
        <w:t>ATASEVEN</w:t>
      </w:r>
    </w:p>
    <w:p w14:paraId="78142E23" w14:textId="1DF5CC89" w:rsidR="00E1173B" w:rsidRPr="00FC31C4" w:rsidRDefault="00E1173B" w:rsidP="00E1173B">
      <w:pPr>
        <w:spacing w:line="360" w:lineRule="auto"/>
        <w:jc w:val="both"/>
        <w:rPr>
          <w:rFonts w:ascii="Times New Roman" w:eastAsia="Aptos" w:hAnsi="Times New Roman" w:cs="Times New Roman"/>
          <w:kern w:val="2"/>
          <w:sz w:val="24"/>
          <w:szCs w:val="24"/>
          <w:lang w:eastAsia="en-US"/>
          <w14:ligatures w14:val="standardContextual"/>
        </w:rPr>
      </w:pPr>
      <w:r w:rsidRPr="00FC31C4">
        <w:rPr>
          <w:rFonts w:ascii="Times New Roman" w:eastAsia="Aptos" w:hAnsi="Times New Roman" w:cs="Times New Roman"/>
          <w:kern w:val="2"/>
          <w:sz w:val="24"/>
          <w:szCs w:val="24"/>
          <w:lang w:eastAsia="en-US"/>
          <w14:ligatures w14:val="standardContextual"/>
        </w:rPr>
        <w:t>Süleyman Demirel Üniversitesi Tıp Fakültesi’nde 09 Haziran 2026 tarihinde gerçekleştirilen V. İntörn Çalıştayı başarıyla tamamlanmıştır. İntörn hekimlerin eğitim süreçlerinin, mesleki gelişimlerinin, klinik uygulama deneyimlerinin, karşılaştıkları sorunların ve çözüm önerilerinin değerlendirilmesi amacıyla düzenlenen çalıştay, Dekanlık A Toplantı Salonu’nda gerçekleştirilmiştir. Çalıştayın moderatörlüğü Halk Sağlığı Anabilim Dalı öğretim üyesi Prof. Dr. Özgür Önal tarafından yürütülmüştür. Toplantıya Fakültemiz Dekan Yardımcıları Doç. Dr. Mehtap Savran ve Dr. Öğr. Üyesi Furkan Çağrı Oğuzlar, Dönem VI Koordinatörü Prof. Dr. Filiz Alkaya Solmaz, Tıp Eğitimi ve Bilişimi Anabilim Dalı öğretim üyeleri Doç. Dr. M. İnci</w:t>
      </w:r>
      <w:r w:rsidR="00A14940">
        <w:rPr>
          <w:rFonts w:ascii="Times New Roman" w:eastAsia="Aptos" w:hAnsi="Times New Roman" w:cs="Times New Roman"/>
          <w:kern w:val="2"/>
          <w:sz w:val="24"/>
          <w:szCs w:val="24"/>
          <w:lang w:eastAsia="en-US"/>
          <w14:ligatures w14:val="standardContextual"/>
        </w:rPr>
        <w:t xml:space="preserve"> Başer Kolcu ve Giray Kolcu, </w:t>
      </w:r>
      <w:r w:rsidRPr="00FC31C4">
        <w:rPr>
          <w:rFonts w:ascii="Times New Roman" w:eastAsia="Aptos" w:hAnsi="Times New Roman" w:cs="Times New Roman"/>
          <w:kern w:val="2"/>
          <w:sz w:val="24"/>
          <w:szCs w:val="24"/>
          <w:lang w:eastAsia="en-US"/>
          <w14:ligatures w14:val="standardContextual"/>
        </w:rPr>
        <w:t xml:space="preserve">Başhekim Yardımcısı Doç. Dr. Onur Ünal </w:t>
      </w:r>
      <w:r w:rsidR="00A14940">
        <w:rPr>
          <w:rFonts w:ascii="Times New Roman" w:eastAsia="Aptos" w:hAnsi="Times New Roman" w:cs="Times New Roman"/>
          <w:kern w:val="2"/>
          <w:sz w:val="24"/>
          <w:szCs w:val="24"/>
          <w:lang w:eastAsia="en-US"/>
          <w14:ligatures w14:val="standardContextual"/>
        </w:rPr>
        <w:t xml:space="preserve">ile Halk Sağlığı Anabilim Dalı araştırma görevlileri Dr. Furkan Sevimbiga, Dr. Hasan Kürşat İnci ve Dr. Ayşegül Ataseven </w:t>
      </w:r>
      <w:r w:rsidRPr="00FC31C4">
        <w:rPr>
          <w:rFonts w:ascii="Times New Roman" w:eastAsia="Aptos" w:hAnsi="Times New Roman" w:cs="Times New Roman"/>
          <w:kern w:val="2"/>
          <w:sz w:val="24"/>
          <w:szCs w:val="24"/>
          <w:lang w:eastAsia="en-US"/>
          <w14:ligatures w14:val="standardContextual"/>
        </w:rPr>
        <w:t>katılım sağlamıştır. Çalıştayda genel değerlendirmeler, farklı staj gruplarını temsil eden 12 intörn hekim tarafından yapılmıştır. Ayrıca</w:t>
      </w:r>
      <w:bookmarkStart w:id="0" w:name="_GoBack"/>
      <w:r w:rsidRPr="00FC31C4">
        <w:rPr>
          <w:rFonts w:ascii="Times New Roman" w:eastAsia="Aptos" w:hAnsi="Times New Roman" w:cs="Times New Roman"/>
          <w:kern w:val="2"/>
          <w:sz w:val="24"/>
          <w:szCs w:val="24"/>
          <w:lang w:eastAsia="en-US"/>
          <w14:ligatures w14:val="standardContextual"/>
        </w:rPr>
        <w:t>, çalıştayda dile getirilen sorunların ve geliştirilen çözüm önerilerinin izlenmesi, değerlendirilmesi ve sürdürülebilirliğinin sağlanması amacıyla Dönem V öğrencileri arasından belirlenen 4 temsilci de toplantıda gözlemci ve takipçi olarak yer almıştır</w:t>
      </w:r>
      <w:bookmarkEnd w:id="0"/>
      <w:r w:rsidRPr="00FC31C4">
        <w:rPr>
          <w:rFonts w:ascii="Times New Roman" w:eastAsia="Aptos" w:hAnsi="Times New Roman" w:cs="Times New Roman"/>
          <w:kern w:val="2"/>
          <w:sz w:val="24"/>
          <w:szCs w:val="24"/>
          <w:lang w:eastAsia="en-US"/>
          <w14:ligatures w14:val="standardContextual"/>
        </w:rPr>
        <w:t xml:space="preserve">. Program kapsamında Süleyman Demirel Üniversitesi Tıp Fakültesi intörnlük programı bütüncül bir bakış açısıyla değerlendirilmiş; programın güçlü ve gelişime açık yönleri, karşılaşılan fırsatlar ve olası tehditler SWOT analizi çerçevesinde ele alınmıştır. Bunun yanı sıra, intörn hekimlerden elde edilen geri bildirimler ayrıntılı olarak değerlendirilmiş, eğitim süreçlerinin geliştirilmesine yönelik öneriler tartışılmıştır.  İntörn çalıştayımız başarı ile tamamlanmış intörnlerimiz dönem sonunda program hakkında geribildirim vermek, görüşlerinin alınması ve kendilerinden sonraki dönemlere ışık tutacak paydaş geribildirimi vermekten dolayı mutluluklarını ifade etmişlerdir. </w:t>
      </w:r>
    </w:p>
    <w:p w14:paraId="59C3AF9C" w14:textId="7E60B415" w:rsidR="00E1173B" w:rsidRPr="00FC31C4" w:rsidRDefault="00E1173B" w:rsidP="00E1173B">
      <w:pPr>
        <w:spacing w:line="360" w:lineRule="auto"/>
        <w:jc w:val="both"/>
        <w:rPr>
          <w:rFonts w:ascii="Times New Roman" w:eastAsia="Aptos" w:hAnsi="Times New Roman" w:cs="Times New Roman"/>
          <w:kern w:val="2"/>
          <w:sz w:val="24"/>
          <w:szCs w:val="24"/>
          <w:lang w:eastAsia="en-US"/>
          <w14:ligatures w14:val="standardContextual"/>
        </w:rPr>
      </w:pPr>
      <w:r w:rsidRPr="00FC31C4">
        <w:rPr>
          <w:rFonts w:ascii="Times New Roman" w:eastAsia="Aptos" w:hAnsi="Times New Roman" w:cs="Times New Roman"/>
          <w:kern w:val="2"/>
          <w:sz w:val="24"/>
          <w:szCs w:val="24"/>
          <w:lang w:eastAsia="en-US"/>
          <w14:ligatures w14:val="standardContextual"/>
        </w:rPr>
        <w:t xml:space="preserve">Çalıştaya öğrenci katılımı sürecinde, etkinlikten 2 hafta önce Dönem 6 öğrencilerine anket gönderilmiş ve çalıştaya katılma isteme durumları ve kendilerini belirli alanlarda yetkin hissetme </w:t>
      </w:r>
      <w:r w:rsidRPr="00FC31C4">
        <w:rPr>
          <w:rFonts w:ascii="Times New Roman" w:eastAsia="Aptos" w:hAnsi="Times New Roman" w:cs="Times New Roman"/>
          <w:kern w:val="2"/>
          <w:sz w:val="24"/>
          <w:szCs w:val="24"/>
          <w:lang w:eastAsia="en-US"/>
          <w14:ligatures w14:val="standardContextual"/>
        </w:rPr>
        <w:lastRenderedPageBreak/>
        <w:t>durumları ve intörnlük süreciyle ilgili önerileri sorgulanmıştır. Anketi yanıtlayan 34 kişinin tanımlayıcı (niceliksel) sonuçları raporun başında sunulacaktır. Ankette yer alan niteliksel sorulara verilen yanıtlar ile çalıştay süresince ifade edilen görüşler, tekrarları önlemek ve analizde bütünlüğü sağlamak adına birlikte değerlendirilerek SWOT analizine yansıtılacaktır.</w:t>
      </w:r>
    </w:p>
    <w:p w14:paraId="57DF93A5" w14:textId="77777777" w:rsidR="00E1173B" w:rsidRPr="00FC31C4" w:rsidRDefault="00E1173B" w:rsidP="00E1173B">
      <w:pPr>
        <w:spacing w:line="360" w:lineRule="auto"/>
        <w:jc w:val="both"/>
        <w:rPr>
          <w:rFonts w:ascii="Times New Roman" w:eastAsia="Aptos" w:hAnsi="Times New Roman" w:cs="Times New Roman"/>
          <w:kern w:val="2"/>
          <w:sz w:val="24"/>
          <w:szCs w:val="24"/>
          <w:lang w:eastAsia="en-US"/>
          <w14:ligatures w14:val="standardContextual"/>
        </w:rPr>
      </w:pPr>
    </w:p>
    <w:p w14:paraId="6B7613BB" w14:textId="3CF9A6D0" w:rsidR="00E1173B" w:rsidRPr="00FC31C4" w:rsidRDefault="00E1173B" w:rsidP="00FC31C4">
      <w:pPr>
        <w:spacing w:before="480" w:after="120"/>
        <w:jc w:val="center"/>
        <w:rPr>
          <w:rFonts w:ascii="Times New Roman" w:hAnsi="Times New Roman" w:cs="Times New Roman"/>
          <w:b/>
          <w:bCs/>
          <w:color w:val="4C94D8" w:themeColor="text2" w:themeTint="80"/>
          <w:sz w:val="24"/>
          <w:szCs w:val="24"/>
        </w:rPr>
      </w:pPr>
      <w:r w:rsidRPr="00FC31C4">
        <w:rPr>
          <w:rFonts w:ascii="Times New Roman" w:hAnsi="Times New Roman" w:cs="Times New Roman"/>
          <w:b/>
          <w:bCs/>
          <w:color w:val="4C94D8" w:themeColor="text2" w:themeTint="80"/>
          <w:sz w:val="24"/>
          <w:szCs w:val="24"/>
        </w:rPr>
        <w:t>İntörn Ön Değerlendirme Sonuçları</w:t>
      </w:r>
    </w:p>
    <w:p w14:paraId="51275C40" w14:textId="1DEA123B" w:rsidR="00FC31C4" w:rsidRPr="00FC31C4" w:rsidRDefault="00E1173B" w:rsidP="00FC31C4">
      <w:pPr>
        <w:spacing w:before="480" w:after="120"/>
        <w:jc w:val="both"/>
        <w:rPr>
          <w:rFonts w:ascii="Times New Roman" w:hAnsi="Times New Roman" w:cs="Times New Roman"/>
          <w:sz w:val="24"/>
          <w:szCs w:val="24"/>
        </w:rPr>
      </w:pPr>
      <w:r w:rsidRPr="00FC31C4">
        <w:rPr>
          <w:rFonts w:ascii="Times New Roman" w:hAnsi="Times New Roman" w:cs="Times New Roman"/>
          <w:sz w:val="24"/>
          <w:szCs w:val="24"/>
        </w:rPr>
        <w:t>İntörnlere</w:t>
      </w:r>
      <w:r w:rsidR="00FC31C4" w:rsidRPr="00FC31C4">
        <w:rPr>
          <w:rFonts w:ascii="Times New Roman" w:hAnsi="Times New Roman" w:cs="Times New Roman"/>
          <w:sz w:val="24"/>
          <w:szCs w:val="24"/>
        </w:rPr>
        <w:t xml:space="preserve"> </w:t>
      </w:r>
      <w:r w:rsidRPr="00FC31C4">
        <w:rPr>
          <w:rFonts w:ascii="Times New Roman" w:hAnsi="Times New Roman" w:cs="Times New Roman"/>
          <w:sz w:val="24"/>
          <w:szCs w:val="24"/>
        </w:rPr>
        <w:t xml:space="preserve">akademik yeterlilik, mesleki yeterlilik, kuramsal bilgi, olgusal bilgi, bilişsel beceri, uygulamalı beceri, bağımsız çalışabilme ve sorumluluk alabilme yetkinliği, öğrenme yetkinliği, iletişim ve sosyal alana özgü yetkinlik düzeylerini hangi seviyede buldukları sorulmuştur.  </w:t>
      </w:r>
      <w:r w:rsidR="00FC31C4" w:rsidRPr="00FC31C4">
        <w:rPr>
          <w:rFonts w:ascii="Times New Roman" w:hAnsi="Times New Roman" w:cs="Times New Roman"/>
          <w:sz w:val="24"/>
          <w:szCs w:val="24"/>
        </w:rPr>
        <w:t>Anket 34 intörn hekim tarafından yanıtlanmıştır (Tablo 1). Katılımcıların 10 yetkinlik alanına verdiği puanların genel ortalaması 5.55/10 olarak hesaplanmış olup bu değer, intörnlerin genel itibarıyla kendilerini orta düzey yeterli gördüğüne işaret etmektedir. İntörnlerin kendilerini en yeterli hissettikleri alanın İletişim ve Sosyal Yetkinlik olduğu görülmektedir (ort. 7,21). Katılımcıların %74’ü bu alanda 7 ve üzeri puan vermiş, yalnızca %12’si düşük puan bildirmiştir. Bu durum, intörnlerin hasta, hasta yakını ve sağlık ekibi ile iletişim kurma konusunda kendilerini güçlü hissettiklerini göstermektedir. Buna karşılık, Kuramsal Bilgi Düzeyi (ort. 4,71) ve Olgusal Bilgi Düzeyi (ort. 4,85) en düşük puan alan alanlar olmuştur. Her iki başlıkta da katılımcıların yaklaşık üçte biri (%29) kendilerini yetersiz olarak değerlendirmiştir. Bu sonuçlar, teorik bilgi birikimi ve bilgiyi hatırlama/yorumlama konusunda geliştirilmesi gereken alanlar bulunduğunu düşündürmektedir. Akademik Yeterlilik (ort. 5,12) ve Mesleki Yeterlilik (ort. 5,06) orta düzeyde değerlendirilmiştir. Katılımcıların yaklaşık dörtte biri ila üçte biri bu alanlarda düşük puan verirken, yüksek puan verenlerin oranı %29–35 arasında kalmıştır. Bu durum, intörnlerin mesleki ve akademik yeterlilikleri konusunda kendilerini tam anlamıyla güçlü hissetmediklerini göstermektedir. Bilişsel Beceri Düzeyi (ort. 5,88), Uygulamalı Beceri Düzeyi (ort. 5,82), Bağımsız Çalışabilme (ort. 5,50), Öğrenme Yetkinliği (ort. 5,88) ve Alana Özgü Yetkinlik (ort. 5,44) orta düzeyde değerlendirilmiştir. Özellikle öğrenme yetkinliğinde katılımcıların yarısından fazlasının (%53) yüksek puan vermesi, intörnlerin yeni bilgi ve becerileri edinme konusunda kendilerine güvendiklerini göstermektedir. Benzer şekilde bilişsel ve uygulamalı becerilerde yüksek puan verenlerin oranının %47 olması, klinik süreçlerde bilgi kullanımı ve uygulama becerilerinin teorik bilgi düzeyine göre daha olumlu algılandığını düşündürmektedir.</w:t>
      </w:r>
    </w:p>
    <w:p w14:paraId="18C160CE" w14:textId="3B5F46AE" w:rsidR="00FC31C4" w:rsidRPr="00FC31C4" w:rsidRDefault="00FC31C4" w:rsidP="00FC31C4">
      <w:pPr>
        <w:spacing w:before="480" w:after="120"/>
        <w:jc w:val="both"/>
        <w:rPr>
          <w:rFonts w:ascii="Times New Roman" w:hAnsi="Times New Roman" w:cs="Times New Roman"/>
          <w:b/>
          <w:bCs/>
          <w:sz w:val="24"/>
          <w:szCs w:val="24"/>
        </w:rPr>
      </w:pPr>
      <w:r w:rsidRPr="00FC31C4">
        <w:rPr>
          <w:rFonts w:ascii="Times New Roman" w:hAnsi="Times New Roman" w:cs="Times New Roman"/>
          <w:b/>
          <w:bCs/>
          <w:sz w:val="24"/>
          <w:szCs w:val="24"/>
        </w:rPr>
        <w:t>Tablo 1. İntörn Hekimlerin Yetkinlik Alanlarına İlişkin Öz Değerlendirme Sonuçları (n=34)</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14"/>
        <w:gridCol w:w="1244"/>
        <w:gridCol w:w="1454"/>
        <w:gridCol w:w="1454"/>
        <w:gridCol w:w="1444"/>
      </w:tblGrid>
      <w:tr w:rsidR="00FC31C4" w:rsidRPr="00FC31C4" w14:paraId="33858C52" w14:textId="77777777" w:rsidTr="00FC31C4">
        <w:trPr>
          <w:trHeight w:val="465"/>
        </w:trPr>
        <w:tc>
          <w:tcPr>
            <w:tcW w:w="3714"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BE783C6"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FFFFFF"/>
              </w:rPr>
              <w:t>Yetkinlik Alanı</w:t>
            </w:r>
          </w:p>
        </w:tc>
        <w:tc>
          <w:tcPr>
            <w:tcW w:w="1244" w:type="dxa"/>
            <w:tcBorders>
              <w:top w:val="single" w:sz="1" w:space="0" w:color="CCCCCC"/>
              <w:left w:val="single" w:sz="1" w:space="0" w:color="CCCCCC"/>
              <w:bottom w:val="single" w:sz="1" w:space="0" w:color="CCCCCC"/>
              <w:right w:val="single" w:sz="1" w:space="0" w:color="CCCCCC"/>
            </w:tcBorders>
            <w:shd w:val="clear" w:color="auto" w:fill="1F4E79"/>
            <w:tcMar>
              <w:top w:w="80" w:type="dxa"/>
              <w:left w:w="80" w:type="dxa"/>
              <w:bottom w:w="80" w:type="dxa"/>
              <w:right w:w="80" w:type="dxa"/>
            </w:tcMar>
          </w:tcPr>
          <w:p w14:paraId="6BB7102E"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FFFFFF"/>
              </w:rPr>
              <w:t>Ort. (1–10)</w:t>
            </w:r>
          </w:p>
        </w:tc>
        <w:tc>
          <w:tcPr>
            <w:tcW w:w="1454" w:type="dxa"/>
            <w:tcBorders>
              <w:top w:val="single" w:sz="1" w:space="0" w:color="CCCCCC"/>
              <w:left w:val="single" w:sz="1" w:space="0" w:color="CCCCCC"/>
              <w:bottom w:val="single" w:sz="1" w:space="0" w:color="CCCCCC"/>
              <w:right w:val="single" w:sz="1" w:space="0" w:color="CCCCCC"/>
            </w:tcBorders>
            <w:shd w:val="clear" w:color="auto" w:fill="7D0000"/>
            <w:tcMar>
              <w:top w:w="80" w:type="dxa"/>
              <w:left w:w="80" w:type="dxa"/>
              <w:bottom w:w="80" w:type="dxa"/>
              <w:right w:w="80" w:type="dxa"/>
            </w:tcMar>
          </w:tcPr>
          <w:p w14:paraId="68F498F6"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FFFFFF"/>
              </w:rPr>
              <w:t>Düşük Puan (&lt;4)</w:t>
            </w:r>
          </w:p>
        </w:tc>
        <w:tc>
          <w:tcPr>
            <w:tcW w:w="1454" w:type="dxa"/>
            <w:tcBorders>
              <w:top w:val="single" w:sz="1" w:space="0" w:color="CCCCCC"/>
              <w:left w:val="single" w:sz="1" w:space="0" w:color="CCCCCC"/>
              <w:bottom w:val="single" w:sz="1" w:space="0" w:color="CCCCCC"/>
              <w:right w:val="single" w:sz="1" w:space="0" w:color="CCCCCC"/>
            </w:tcBorders>
            <w:shd w:val="clear" w:color="auto" w:fill="375623"/>
            <w:tcMar>
              <w:top w:w="80" w:type="dxa"/>
              <w:left w:w="80" w:type="dxa"/>
              <w:bottom w:w="80" w:type="dxa"/>
              <w:right w:w="80" w:type="dxa"/>
            </w:tcMar>
          </w:tcPr>
          <w:p w14:paraId="0A9D1712"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FFFFFF"/>
              </w:rPr>
              <w:t>Yüksek Puan (≥7)</w:t>
            </w:r>
          </w:p>
        </w:tc>
        <w:tc>
          <w:tcPr>
            <w:tcW w:w="1444" w:type="dxa"/>
            <w:tcBorders>
              <w:top w:val="single" w:sz="1" w:space="0" w:color="CCCCCC"/>
              <w:left w:val="single" w:sz="1" w:space="0" w:color="CCCCCC"/>
              <w:bottom w:val="single" w:sz="1" w:space="0" w:color="CCCCCC"/>
              <w:right w:val="single" w:sz="1" w:space="0" w:color="CCCCCC"/>
            </w:tcBorders>
            <w:shd w:val="clear" w:color="auto" w:fill="1F4E79"/>
            <w:tcMar>
              <w:top w:w="80" w:type="dxa"/>
              <w:left w:w="80" w:type="dxa"/>
              <w:bottom w:w="80" w:type="dxa"/>
              <w:right w:w="80" w:type="dxa"/>
            </w:tcMar>
          </w:tcPr>
          <w:p w14:paraId="478AD120"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FFFFFF"/>
              </w:rPr>
              <w:t>Yorum</w:t>
            </w:r>
          </w:p>
        </w:tc>
      </w:tr>
      <w:tr w:rsidR="00FC31C4" w:rsidRPr="00FC31C4" w14:paraId="3A0F5913" w14:textId="77777777" w:rsidTr="00FC31C4">
        <w:trPr>
          <w:trHeight w:val="220"/>
        </w:trPr>
        <w:tc>
          <w:tcPr>
            <w:tcW w:w="3714"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2564FB82" w14:textId="77777777" w:rsidR="00FC31C4" w:rsidRPr="00FC31C4" w:rsidRDefault="00FC31C4" w:rsidP="00775EEE">
            <w:pPr>
              <w:rPr>
                <w:rFonts w:ascii="Times New Roman" w:hAnsi="Times New Roman" w:cs="Times New Roman"/>
              </w:rPr>
            </w:pPr>
            <w:r w:rsidRPr="00FC31C4">
              <w:rPr>
                <w:rFonts w:ascii="Times New Roman" w:hAnsi="Times New Roman" w:cs="Times New Roman"/>
              </w:rPr>
              <w:t>Akademik Yeterlilik</w:t>
            </w:r>
          </w:p>
        </w:tc>
        <w:tc>
          <w:tcPr>
            <w:tcW w:w="1244" w:type="dxa"/>
            <w:tcBorders>
              <w:top w:val="single" w:sz="1" w:space="0" w:color="CCCCCC"/>
              <w:left w:val="single" w:sz="1" w:space="0" w:color="CCCCCC"/>
              <w:bottom w:val="single" w:sz="1" w:space="0" w:color="CCCCCC"/>
              <w:right w:val="single" w:sz="1" w:space="0" w:color="CCCCCC"/>
            </w:tcBorders>
            <w:shd w:val="clear" w:color="auto" w:fill="F8FBFF"/>
            <w:tcMar>
              <w:top w:w="80" w:type="dxa"/>
              <w:left w:w="80" w:type="dxa"/>
              <w:bottom w:w="80" w:type="dxa"/>
              <w:right w:w="80" w:type="dxa"/>
            </w:tcMar>
          </w:tcPr>
          <w:p w14:paraId="2E117C46"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1F4E79"/>
              </w:rPr>
              <w:t>5.12</w:t>
            </w:r>
          </w:p>
        </w:tc>
        <w:tc>
          <w:tcPr>
            <w:tcW w:w="1454" w:type="dxa"/>
            <w:tcBorders>
              <w:top w:val="single" w:sz="1" w:space="0" w:color="CCCCCC"/>
              <w:left w:val="single" w:sz="1" w:space="0" w:color="CCCCCC"/>
              <w:bottom w:val="single" w:sz="1" w:space="0" w:color="CCCCCC"/>
              <w:right w:val="single" w:sz="1" w:space="0" w:color="CCCCCC"/>
            </w:tcBorders>
            <w:shd w:val="clear" w:color="auto" w:fill="F8FBFF"/>
            <w:tcMar>
              <w:top w:w="80" w:type="dxa"/>
              <w:left w:w="80" w:type="dxa"/>
              <w:bottom w:w="80" w:type="dxa"/>
              <w:right w:w="80" w:type="dxa"/>
            </w:tcMar>
          </w:tcPr>
          <w:p w14:paraId="6FD95F4B"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10 kişi (%29)</w:t>
            </w:r>
          </w:p>
        </w:tc>
        <w:tc>
          <w:tcPr>
            <w:tcW w:w="1454" w:type="dxa"/>
            <w:tcBorders>
              <w:top w:val="single" w:sz="1" w:space="0" w:color="CCCCCC"/>
              <w:left w:val="single" w:sz="1" w:space="0" w:color="CCCCCC"/>
              <w:bottom w:val="single" w:sz="1" w:space="0" w:color="CCCCCC"/>
              <w:right w:val="single" w:sz="1" w:space="0" w:color="CCCCCC"/>
            </w:tcBorders>
            <w:shd w:val="clear" w:color="auto" w:fill="F8FBFF"/>
            <w:tcMar>
              <w:top w:w="80" w:type="dxa"/>
              <w:left w:w="80" w:type="dxa"/>
              <w:bottom w:w="80" w:type="dxa"/>
              <w:right w:w="80" w:type="dxa"/>
            </w:tcMar>
          </w:tcPr>
          <w:p w14:paraId="0129C699"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12 kişi (%35)</w:t>
            </w:r>
          </w:p>
        </w:tc>
        <w:tc>
          <w:tcPr>
            <w:tcW w:w="1444"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3AB482EC"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404040"/>
              </w:rPr>
              <w:t>Orta</w:t>
            </w:r>
          </w:p>
        </w:tc>
      </w:tr>
      <w:tr w:rsidR="00FC31C4" w:rsidRPr="00FC31C4" w14:paraId="19E469FD" w14:textId="77777777" w:rsidTr="00FC31C4">
        <w:trPr>
          <w:trHeight w:val="232"/>
        </w:trPr>
        <w:tc>
          <w:tcPr>
            <w:tcW w:w="37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D8FBD3" w14:textId="77777777" w:rsidR="00FC31C4" w:rsidRPr="00FC31C4" w:rsidRDefault="00FC31C4" w:rsidP="00775EEE">
            <w:pPr>
              <w:rPr>
                <w:rFonts w:ascii="Times New Roman" w:hAnsi="Times New Roman" w:cs="Times New Roman"/>
              </w:rPr>
            </w:pPr>
            <w:r w:rsidRPr="00FC31C4">
              <w:rPr>
                <w:rFonts w:ascii="Times New Roman" w:hAnsi="Times New Roman" w:cs="Times New Roman"/>
              </w:rPr>
              <w:t>Mesleki Yeterlilik</w:t>
            </w:r>
          </w:p>
        </w:tc>
        <w:tc>
          <w:tcPr>
            <w:tcW w:w="12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1441CA43"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1F4E79"/>
              </w:rPr>
              <w:t>5.06</w:t>
            </w:r>
          </w:p>
        </w:tc>
        <w:tc>
          <w:tcPr>
            <w:tcW w:w="145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3AF92283"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8 kişi (%24)</w:t>
            </w:r>
          </w:p>
        </w:tc>
        <w:tc>
          <w:tcPr>
            <w:tcW w:w="145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02ADE1F2"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10 kişi (%29)</w:t>
            </w:r>
          </w:p>
        </w:tc>
        <w:tc>
          <w:tcPr>
            <w:tcW w:w="1444"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63C1B909"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404040"/>
              </w:rPr>
              <w:t>Orta</w:t>
            </w:r>
          </w:p>
        </w:tc>
      </w:tr>
      <w:tr w:rsidR="00FC31C4" w:rsidRPr="00FC31C4" w14:paraId="05EFD311" w14:textId="77777777" w:rsidTr="00FC31C4">
        <w:trPr>
          <w:trHeight w:val="232"/>
        </w:trPr>
        <w:tc>
          <w:tcPr>
            <w:tcW w:w="3714" w:type="dxa"/>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6AC2BF9C" w14:textId="77777777" w:rsidR="00FC31C4" w:rsidRPr="00FC31C4" w:rsidRDefault="00FC31C4" w:rsidP="00775EEE">
            <w:pPr>
              <w:rPr>
                <w:rFonts w:ascii="Times New Roman" w:hAnsi="Times New Roman" w:cs="Times New Roman"/>
              </w:rPr>
            </w:pPr>
            <w:r w:rsidRPr="00FC31C4">
              <w:rPr>
                <w:rFonts w:ascii="Times New Roman" w:hAnsi="Times New Roman" w:cs="Times New Roman"/>
                <w:b/>
                <w:bCs/>
              </w:rPr>
              <w:t>Kuramsal Bilgi Düzeyi</w:t>
            </w:r>
          </w:p>
        </w:tc>
        <w:tc>
          <w:tcPr>
            <w:tcW w:w="1244" w:type="dxa"/>
            <w:tcBorders>
              <w:top w:val="single" w:sz="1" w:space="0" w:color="CCCCCC"/>
              <w:left w:val="single" w:sz="1" w:space="0" w:color="CCCCCC"/>
              <w:bottom w:val="single" w:sz="1" w:space="0" w:color="CCCCCC"/>
              <w:right w:val="single" w:sz="1" w:space="0" w:color="CCCCCC"/>
            </w:tcBorders>
            <w:shd w:val="clear" w:color="auto" w:fill="FFF5F5"/>
            <w:tcMar>
              <w:top w:w="80" w:type="dxa"/>
              <w:left w:w="80" w:type="dxa"/>
              <w:bottom w:w="80" w:type="dxa"/>
              <w:right w:w="80" w:type="dxa"/>
            </w:tcMar>
          </w:tcPr>
          <w:p w14:paraId="4C3DC66C"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A00000"/>
              </w:rPr>
              <w:t>4.71</w:t>
            </w:r>
          </w:p>
        </w:tc>
        <w:tc>
          <w:tcPr>
            <w:tcW w:w="1454" w:type="dxa"/>
            <w:tcBorders>
              <w:top w:val="single" w:sz="1" w:space="0" w:color="CCCCCC"/>
              <w:left w:val="single" w:sz="1" w:space="0" w:color="CCCCCC"/>
              <w:bottom w:val="single" w:sz="1" w:space="0" w:color="CCCCCC"/>
              <w:right w:val="single" w:sz="1" w:space="0" w:color="CCCCCC"/>
            </w:tcBorders>
            <w:shd w:val="clear" w:color="auto" w:fill="FFF5F5"/>
            <w:tcMar>
              <w:top w:w="80" w:type="dxa"/>
              <w:left w:w="80" w:type="dxa"/>
              <w:bottom w:w="80" w:type="dxa"/>
              <w:right w:w="80" w:type="dxa"/>
            </w:tcMar>
          </w:tcPr>
          <w:p w14:paraId="78F1F5A6"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10 kişi (%29)</w:t>
            </w:r>
          </w:p>
        </w:tc>
        <w:tc>
          <w:tcPr>
            <w:tcW w:w="1454" w:type="dxa"/>
            <w:tcBorders>
              <w:top w:val="single" w:sz="1" w:space="0" w:color="CCCCCC"/>
              <w:left w:val="single" w:sz="1" w:space="0" w:color="CCCCCC"/>
              <w:bottom w:val="single" w:sz="1" w:space="0" w:color="CCCCCC"/>
              <w:right w:val="single" w:sz="1" w:space="0" w:color="CCCCCC"/>
            </w:tcBorders>
            <w:shd w:val="clear" w:color="auto" w:fill="FFF5F5"/>
            <w:tcMar>
              <w:top w:w="80" w:type="dxa"/>
              <w:left w:w="80" w:type="dxa"/>
              <w:bottom w:w="80" w:type="dxa"/>
              <w:right w:w="80" w:type="dxa"/>
            </w:tcMar>
          </w:tcPr>
          <w:p w14:paraId="7569C807"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8 kişi (%24)</w:t>
            </w:r>
          </w:p>
        </w:tc>
        <w:tc>
          <w:tcPr>
            <w:tcW w:w="1444" w:type="dxa"/>
            <w:tcBorders>
              <w:top w:val="single" w:sz="1" w:space="0" w:color="CCCCCC"/>
              <w:left w:val="single" w:sz="1" w:space="0" w:color="CCCCCC"/>
              <w:bottom w:val="single" w:sz="1" w:space="0" w:color="CCCCCC"/>
              <w:right w:val="single" w:sz="1" w:space="0" w:color="CCCCCC"/>
            </w:tcBorders>
            <w:shd w:val="clear" w:color="auto" w:fill="FFECEC"/>
            <w:tcMar>
              <w:top w:w="80" w:type="dxa"/>
              <w:left w:w="80" w:type="dxa"/>
              <w:bottom w:w="80" w:type="dxa"/>
              <w:right w:w="80" w:type="dxa"/>
            </w:tcMar>
          </w:tcPr>
          <w:p w14:paraId="762BB5F1"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A00000"/>
              </w:rPr>
              <w:t>Kritik düşük</w:t>
            </w:r>
          </w:p>
        </w:tc>
      </w:tr>
      <w:tr w:rsidR="00FC31C4" w:rsidRPr="00FC31C4" w14:paraId="7342C3E7" w14:textId="77777777" w:rsidTr="00FC31C4">
        <w:trPr>
          <w:trHeight w:val="220"/>
        </w:trPr>
        <w:tc>
          <w:tcPr>
            <w:tcW w:w="3714" w:type="dxa"/>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5C80F809" w14:textId="77777777" w:rsidR="00FC31C4" w:rsidRPr="00FC31C4" w:rsidRDefault="00FC31C4" w:rsidP="00775EEE">
            <w:pPr>
              <w:rPr>
                <w:rFonts w:ascii="Times New Roman" w:hAnsi="Times New Roman" w:cs="Times New Roman"/>
              </w:rPr>
            </w:pPr>
            <w:r w:rsidRPr="00FC31C4">
              <w:rPr>
                <w:rFonts w:ascii="Times New Roman" w:hAnsi="Times New Roman" w:cs="Times New Roman"/>
                <w:b/>
                <w:bCs/>
              </w:rPr>
              <w:t>Olgusal Bilgi Düzeyi</w:t>
            </w:r>
          </w:p>
        </w:tc>
        <w:tc>
          <w:tcPr>
            <w:tcW w:w="1244" w:type="dxa"/>
            <w:tcBorders>
              <w:top w:val="single" w:sz="1" w:space="0" w:color="CCCCCC"/>
              <w:left w:val="single" w:sz="1" w:space="0" w:color="CCCCCC"/>
              <w:bottom w:val="single" w:sz="1" w:space="0" w:color="CCCCCC"/>
              <w:right w:val="single" w:sz="1" w:space="0" w:color="CCCCCC"/>
            </w:tcBorders>
            <w:shd w:val="clear" w:color="auto" w:fill="FFF5F5"/>
            <w:tcMar>
              <w:top w:w="80" w:type="dxa"/>
              <w:left w:w="80" w:type="dxa"/>
              <w:bottom w:w="80" w:type="dxa"/>
              <w:right w:w="80" w:type="dxa"/>
            </w:tcMar>
          </w:tcPr>
          <w:p w14:paraId="5AB84856"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A00000"/>
              </w:rPr>
              <w:t>4.85</w:t>
            </w:r>
          </w:p>
        </w:tc>
        <w:tc>
          <w:tcPr>
            <w:tcW w:w="1454" w:type="dxa"/>
            <w:tcBorders>
              <w:top w:val="single" w:sz="1" w:space="0" w:color="CCCCCC"/>
              <w:left w:val="single" w:sz="1" w:space="0" w:color="CCCCCC"/>
              <w:bottom w:val="single" w:sz="1" w:space="0" w:color="CCCCCC"/>
              <w:right w:val="single" w:sz="1" w:space="0" w:color="CCCCCC"/>
            </w:tcBorders>
            <w:shd w:val="clear" w:color="auto" w:fill="FFF5F5"/>
            <w:tcMar>
              <w:top w:w="80" w:type="dxa"/>
              <w:left w:w="80" w:type="dxa"/>
              <w:bottom w:w="80" w:type="dxa"/>
              <w:right w:w="80" w:type="dxa"/>
            </w:tcMar>
          </w:tcPr>
          <w:p w14:paraId="6ABBE7A0"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10 kişi (%29)</w:t>
            </w:r>
          </w:p>
        </w:tc>
        <w:tc>
          <w:tcPr>
            <w:tcW w:w="1454" w:type="dxa"/>
            <w:tcBorders>
              <w:top w:val="single" w:sz="1" w:space="0" w:color="CCCCCC"/>
              <w:left w:val="single" w:sz="1" w:space="0" w:color="CCCCCC"/>
              <w:bottom w:val="single" w:sz="1" w:space="0" w:color="CCCCCC"/>
              <w:right w:val="single" w:sz="1" w:space="0" w:color="CCCCCC"/>
            </w:tcBorders>
            <w:shd w:val="clear" w:color="auto" w:fill="FFF5F5"/>
            <w:tcMar>
              <w:top w:w="80" w:type="dxa"/>
              <w:left w:w="80" w:type="dxa"/>
              <w:bottom w:w="80" w:type="dxa"/>
              <w:right w:w="80" w:type="dxa"/>
            </w:tcMar>
          </w:tcPr>
          <w:p w14:paraId="45B1E3E7"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10 kişi (%29)</w:t>
            </w:r>
          </w:p>
        </w:tc>
        <w:tc>
          <w:tcPr>
            <w:tcW w:w="1444" w:type="dxa"/>
            <w:tcBorders>
              <w:top w:val="single" w:sz="1" w:space="0" w:color="CCCCCC"/>
              <w:left w:val="single" w:sz="1" w:space="0" w:color="CCCCCC"/>
              <w:bottom w:val="single" w:sz="1" w:space="0" w:color="CCCCCC"/>
              <w:right w:val="single" w:sz="1" w:space="0" w:color="CCCCCC"/>
            </w:tcBorders>
            <w:shd w:val="clear" w:color="auto" w:fill="FFF5F5"/>
            <w:tcMar>
              <w:top w:w="80" w:type="dxa"/>
              <w:left w:w="80" w:type="dxa"/>
              <w:bottom w:w="80" w:type="dxa"/>
              <w:right w:w="80" w:type="dxa"/>
            </w:tcMar>
          </w:tcPr>
          <w:p w14:paraId="5480FBA5"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C05000"/>
              </w:rPr>
              <w:t>Düşük</w:t>
            </w:r>
          </w:p>
        </w:tc>
      </w:tr>
      <w:tr w:rsidR="00FC31C4" w:rsidRPr="00FC31C4" w14:paraId="7A5AA776" w14:textId="77777777" w:rsidTr="00FC31C4">
        <w:trPr>
          <w:trHeight w:val="232"/>
        </w:trPr>
        <w:tc>
          <w:tcPr>
            <w:tcW w:w="3714"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63626263" w14:textId="77777777" w:rsidR="00FC31C4" w:rsidRPr="00FC31C4" w:rsidRDefault="00FC31C4" w:rsidP="00775EEE">
            <w:pPr>
              <w:rPr>
                <w:rFonts w:ascii="Times New Roman" w:hAnsi="Times New Roman" w:cs="Times New Roman"/>
              </w:rPr>
            </w:pPr>
            <w:r w:rsidRPr="00FC31C4">
              <w:rPr>
                <w:rFonts w:ascii="Times New Roman" w:hAnsi="Times New Roman" w:cs="Times New Roman"/>
              </w:rPr>
              <w:t>Bilişsel Beceri Düzeyi</w:t>
            </w:r>
          </w:p>
        </w:tc>
        <w:tc>
          <w:tcPr>
            <w:tcW w:w="1244" w:type="dxa"/>
            <w:tcBorders>
              <w:top w:val="single" w:sz="1" w:space="0" w:color="CCCCCC"/>
              <w:left w:val="single" w:sz="1" w:space="0" w:color="CCCCCC"/>
              <w:bottom w:val="single" w:sz="1" w:space="0" w:color="CCCCCC"/>
              <w:right w:val="single" w:sz="1" w:space="0" w:color="CCCCCC"/>
            </w:tcBorders>
            <w:shd w:val="clear" w:color="auto" w:fill="F8FBFF"/>
            <w:tcMar>
              <w:top w:w="80" w:type="dxa"/>
              <w:left w:w="80" w:type="dxa"/>
              <w:bottom w:w="80" w:type="dxa"/>
              <w:right w:w="80" w:type="dxa"/>
            </w:tcMar>
          </w:tcPr>
          <w:p w14:paraId="50655857"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1F4E79"/>
              </w:rPr>
              <w:t>5.88</w:t>
            </w:r>
          </w:p>
        </w:tc>
        <w:tc>
          <w:tcPr>
            <w:tcW w:w="1454" w:type="dxa"/>
            <w:tcBorders>
              <w:top w:val="single" w:sz="1" w:space="0" w:color="CCCCCC"/>
              <w:left w:val="single" w:sz="1" w:space="0" w:color="CCCCCC"/>
              <w:bottom w:val="single" w:sz="1" w:space="0" w:color="CCCCCC"/>
              <w:right w:val="single" w:sz="1" w:space="0" w:color="CCCCCC"/>
            </w:tcBorders>
            <w:shd w:val="clear" w:color="auto" w:fill="F8FBFF"/>
            <w:tcMar>
              <w:top w:w="80" w:type="dxa"/>
              <w:left w:w="80" w:type="dxa"/>
              <w:bottom w:w="80" w:type="dxa"/>
              <w:right w:w="80" w:type="dxa"/>
            </w:tcMar>
          </w:tcPr>
          <w:p w14:paraId="5AFADC6B"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6 kişi (%18)</w:t>
            </w:r>
          </w:p>
        </w:tc>
        <w:tc>
          <w:tcPr>
            <w:tcW w:w="1454" w:type="dxa"/>
            <w:tcBorders>
              <w:top w:val="single" w:sz="1" w:space="0" w:color="CCCCCC"/>
              <w:left w:val="single" w:sz="1" w:space="0" w:color="CCCCCC"/>
              <w:bottom w:val="single" w:sz="1" w:space="0" w:color="CCCCCC"/>
              <w:right w:val="single" w:sz="1" w:space="0" w:color="CCCCCC"/>
            </w:tcBorders>
            <w:shd w:val="clear" w:color="auto" w:fill="F8FBFF"/>
            <w:tcMar>
              <w:top w:w="80" w:type="dxa"/>
              <w:left w:w="80" w:type="dxa"/>
              <w:bottom w:w="80" w:type="dxa"/>
              <w:right w:w="80" w:type="dxa"/>
            </w:tcMar>
          </w:tcPr>
          <w:p w14:paraId="64E6D467"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16 kişi (%47)</w:t>
            </w:r>
          </w:p>
        </w:tc>
        <w:tc>
          <w:tcPr>
            <w:tcW w:w="1444"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066F63F7"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404040"/>
              </w:rPr>
              <w:t>Orta</w:t>
            </w:r>
          </w:p>
        </w:tc>
      </w:tr>
      <w:tr w:rsidR="00FC31C4" w:rsidRPr="00FC31C4" w14:paraId="02E789F5" w14:textId="77777777" w:rsidTr="00FC31C4">
        <w:trPr>
          <w:trHeight w:val="232"/>
        </w:trPr>
        <w:tc>
          <w:tcPr>
            <w:tcW w:w="37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D74492" w14:textId="77777777" w:rsidR="00FC31C4" w:rsidRPr="00FC31C4" w:rsidRDefault="00FC31C4" w:rsidP="00775EEE">
            <w:pPr>
              <w:rPr>
                <w:rFonts w:ascii="Times New Roman" w:hAnsi="Times New Roman" w:cs="Times New Roman"/>
              </w:rPr>
            </w:pPr>
            <w:r w:rsidRPr="00FC31C4">
              <w:rPr>
                <w:rFonts w:ascii="Times New Roman" w:hAnsi="Times New Roman" w:cs="Times New Roman"/>
              </w:rPr>
              <w:lastRenderedPageBreak/>
              <w:t>Uygulamalı Beceri Düzeyi</w:t>
            </w:r>
          </w:p>
        </w:tc>
        <w:tc>
          <w:tcPr>
            <w:tcW w:w="12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176E3B55"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1F4E79"/>
              </w:rPr>
              <w:t>5.82</w:t>
            </w:r>
          </w:p>
        </w:tc>
        <w:tc>
          <w:tcPr>
            <w:tcW w:w="145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7AE6D863"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8 kişi (%24)</w:t>
            </w:r>
          </w:p>
        </w:tc>
        <w:tc>
          <w:tcPr>
            <w:tcW w:w="145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05083AC4"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16 kişi (%47)</w:t>
            </w:r>
          </w:p>
        </w:tc>
        <w:tc>
          <w:tcPr>
            <w:tcW w:w="1444"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27C31ACA"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404040"/>
              </w:rPr>
              <w:t>Orta</w:t>
            </w:r>
          </w:p>
        </w:tc>
      </w:tr>
      <w:tr w:rsidR="00FC31C4" w:rsidRPr="00FC31C4" w14:paraId="50F1D437" w14:textId="77777777" w:rsidTr="00FC31C4">
        <w:trPr>
          <w:trHeight w:val="220"/>
        </w:trPr>
        <w:tc>
          <w:tcPr>
            <w:tcW w:w="3714" w:type="dxa"/>
            <w:tcBorders>
              <w:top w:val="single" w:sz="1" w:space="0" w:color="CCCCCC"/>
              <w:left w:val="single" w:sz="1" w:space="0" w:color="CCCCCC"/>
              <w:bottom w:val="single" w:sz="1" w:space="0" w:color="CCCCCC"/>
              <w:right w:val="single" w:sz="1" w:space="0" w:color="CCCCCC"/>
            </w:tcBorders>
            <w:shd w:val="clear" w:color="auto" w:fill="F8FBFF"/>
            <w:tcMar>
              <w:top w:w="80" w:type="dxa"/>
              <w:left w:w="120" w:type="dxa"/>
              <w:bottom w:w="80" w:type="dxa"/>
              <w:right w:w="120" w:type="dxa"/>
            </w:tcMar>
          </w:tcPr>
          <w:p w14:paraId="07A435ED" w14:textId="77777777" w:rsidR="00FC31C4" w:rsidRPr="00FC31C4" w:rsidRDefault="00FC31C4" w:rsidP="00775EEE">
            <w:pPr>
              <w:rPr>
                <w:rFonts w:ascii="Times New Roman" w:hAnsi="Times New Roman" w:cs="Times New Roman"/>
              </w:rPr>
            </w:pPr>
            <w:r w:rsidRPr="00FC31C4">
              <w:rPr>
                <w:rFonts w:ascii="Times New Roman" w:hAnsi="Times New Roman" w:cs="Times New Roman"/>
              </w:rPr>
              <w:t>Bağımsız Çalışabilme</w:t>
            </w:r>
          </w:p>
        </w:tc>
        <w:tc>
          <w:tcPr>
            <w:tcW w:w="1244" w:type="dxa"/>
            <w:tcBorders>
              <w:top w:val="single" w:sz="1" w:space="0" w:color="CCCCCC"/>
              <w:left w:val="single" w:sz="1" w:space="0" w:color="CCCCCC"/>
              <w:bottom w:val="single" w:sz="1" w:space="0" w:color="CCCCCC"/>
              <w:right w:val="single" w:sz="1" w:space="0" w:color="CCCCCC"/>
            </w:tcBorders>
            <w:shd w:val="clear" w:color="auto" w:fill="F8FBFF"/>
            <w:tcMar>
              <w:top w:w="80" w:type="dxa"/>
              <w:left w:w="80" w:type="dxa"/>
              <w:bottom w:w="80" w:type="dxa"/>
              <w:right w:w="80" w:type="dxa"/>
            </w:tcMar>
          </w:tcPr>
          <w:p w14:paraId="41B5883C"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1F4E79"/>
              </w:rPr>
              <w:t>5.50</w:t>
            </w:r>
          </w:p>
        </w:tc>
        <w:tc>
          <w:tcPr>
            <w:tcW w:w="1454" w:type="dxa"/>
            <w:tcBorders>
              <w:top w:val="single" w:sz="1" w:space="0" w:color="CCCCCC"/>
              <w:left w:val="single" w:sz="1" w:space="0" w:color="CCCCCC"/>
              <w:bottom w:val="single" w:sz="1" w:space="0" w:color="CCCCCC"/>
              <w:right w:val="single" w:sz="1" w:space="0" w:color="CCCCCC"/>
            </w:tcBorders>
            <w:shd w:val="clear" w:color="auto" w:fill="F8FBFF"/>
            <w:tcMar>
              <w:top w:w="80" w:type="dxa"/>
              <w:left w:w="80" w:type="dxa"/>
              <w:bottom w:w="80" w:type="dxa"/>
              <w:right w:w="80" w:type="dxa"/>
            </w:tcMar>
          </w:tcPr>
          <w:p w14:paraId="6C384D09"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7 kişi (%21)</w:t>
            </w:r>
          </w:p>
        </w:tc>
        <w:tc>
          <w:tcPr>
            <w:tcW w:w="1454" w:type="dxa"/>
            <w:tcBorders>
              <w:top w:val="single" w:sz="1" w:space="0" w:color="CCCCCC"/>
              <w:left w:val="single" w:sz="1" w:space="0" w:color="CCCCCC"/>
              <w:bottom w:val="single" w:sz="1" w:space="0" w:color="CCCCCC"/>
              <w:right w:val="single" w:sz="1" w:space="0" w:color="CCCCCC"/>
            </w:tcBorders>
            <w:shd w:val="clear" w:color="auto" w:fill="F8FBFF"/>
            <w:tcMar>
              <w:top w:w="80" w:type="dxa"/>
              <w:left w:w="80" w:type="dxa"/>
              <w:bottom w:w="80" w:type="dxa"/>
              <w:right w:w="80" w:type="dxa"/>
            </w:tcMar>
          </w:tcPr>
          <w:p w14:paraId="46F04EBA"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13 kişi (%38)</w:t>
            </w:r>
          </w:p>
        </w:tc>
        <w:tc>
          <w:tcPr>
            <w:tcW w:w="1444"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0C09042C"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404040"/>
              </w:rPr>
              <w:t>Orta</w:t>
            </w:r>
          </w:p>
        </w:tc>
      </w:tr>
      <w:tr w:rsidR="00FC31C4" w:rsidRPr="00FC31C4" w14:paraId="2CC0858E" w14:textId="77777777" w:rsidTr="00FC31C4">
        <w:trPr>
          <w:trHeight w:val="232"/>
        </w:trPr>
        <w:tc>
          <w:tcPr>
            <w:tcW w:w="37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671FB7" w14:textId="77777777" w:rsidR="00FC31C4" w:rsidRPr="00FC31C4" w:rsidRDefault="00FC31C4" w:rsidP="00775EEE">
            <w:pPr>
              <w:rPr>
                <w:rFonts w:ascii="Times New Roman" w:hAnsi="Times New Roman" w:cs="Times New Roman"/>
              </w:rPr>
            </w:pPr>
            <w:r w:rsidRPr="00FC31C4">
              <w:rPr>
                <w:rFonts w:ascii="Times New Roman" w:hAnsi="Times New Roman" w:cs="Times New Roman"/>
              </w:rPr>
              <w:t>Öğrenme Yetkinliği</w:t>
            </w:r>
          </w:p>
        </w:tc>
        <w:tc>
          <w:tcPr>
            <w:tcW w:w="12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738923C"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1F4E79"/>
              </w:rPr>
              <w:t>5.88</w:t>
            </w:r>
          </w:p>
        </w:tc>
        <w:tc>
          <w:tcPr>
            <w:tcW w:w="145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304EF113"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5 kişi (%15)</w:t>
            </w:r>
          </w:p>
        </w:tc>
        <w:tc>
          <w:tcPr>
            <w:tcW w:w="145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F83213E"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18 kişi (%53)</w:t>
            </w:r>
          </w:p>
        </w:tc>
        <w:tc>
          <w:tcPr>
            <w:tcW w:w="1444"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449F4255"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404040"/>
              </w:rPr>
              <w:t>Orta</w:t>
            </w:r>
          </w:p>
        </w:tc>
      </w:tr>
      <w:tr w:rsidR="00FC31C4" w:rsidRPr="00FC31C4" w14:paraId="2CBAD347" w14:textId="77777777" w:rsidTr="00FC31C4">
        <w:trPr>
          <w:trHeight w:val="232"/>
        </w:trPr>
        <w:tc>
          <w:tcPr>
            <w:tcW w:w="3714" w:type="dxa"/>
            <w:tcBorders>
              <w:top w:val="single" w:sz="1" w:space="0" w:color="CCCCCC"/>
              <w:left w:val="single" w:sz="1" w:space="0" w:color="CCCCCC"/>
              <w:bottom w:val="single" w:sz="1" w:space="0" w:color="CCCCCC"/>
              <w:right w:val="single" w:sz="1" w:space="0" w:color="CCCCCC"/>
            </w:tcBorders>
            <w:shd w:val="clear" w:color="auto" w:fill="F0FFF0"/>
            <w:tcMar>
              <w:top w:w="80" w:type="dxa"/>
              <w:left w:w="120" w:type="dxa"/>
              <w:bottom w:w="80" w:type="dxa"/>
              <w:right w:w="120" w:type="dxa"/>
            </w:tcMar>
          </w:tcPr>
          <w:p w14:paraId="70D067C8" w14:textId="77777777" w:rsidR="00FC31C4" w:rsidRPr="00FC31C4" w:rsidRDefault="00FC31C4" w:rsidP="00775EEE">
            <w:pPr>
              <w:rPr>
                <w:rFonts w:ascii="Times New Roman" w:hAnsi="Times New Roman" w:cs="Times New Roman"/>
              </w:rPr>
            </w:pPr>
            <w:r w:rsidRPr="00FC31C4">
              <w:rPr>
                <w:rFonts w:ascii="Times New Roman" w:hAnsi="Times New Roman" w:cs="Times New Roman"/>
                <w:b/>
                <w:bCs/>
              </w:rPr>
              <w:t>İletişim ve Sosyal Yetkinlik</w:t>
            </w:r>
          </w:p>
        </w:tc>
        <w:tc>
          <w:tcPr>
            <w:tcW w:w="1244" w:type="dxa"/>
            <w:tcBorders>
              <w:top w:val="single" w:sz="1" w:space="0" w:color="CCCCCC"/>
              <w:left w:val="single" w:sz="1" w:space="0" w:color="CCCCCC"/>
              <w:bottom w:val="single" w:sz="1" w:space="0" w:color="CCCCCC"/>
              <w:right w:val="single" w:sz="1" w:space="0" w:color="CCCCCC"/>
            </w:tcBorders>
            <w:shd w:val="clear" w:color="auto" w:fill="F0FFF0"/>
            <w:tcMar>
              <w:top w:w="80" w:type="dxa"/>
              <w:left w:w="80" w:type="dxa"/>
              <w:bottom w:w="80" w:type="dxa"/>
              <w:right w:w="80" w:type="dxa"/>
            </w:tcMar>
          </w:tcPr>
          <w:p w14:paraId="062A63A3"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1A6B1A"/>
              </w:rPr>
              <w:t>7.21</w:t>
            </w:r>
          </w:p>
        </w:tc>
        <w:tc>
          <w:tcPr>
            <w:tcW w:w="1454" w:type="dxa"/>
            <w:tcBorders>
              <w:top w:val="single" w:sz="1" w:space="0" w:color="CCCCCC"/>
              <w:left w:val="single" w:sz="1" w:space="0" w:color="CCCCCC"/>
              <w:bottom w:val="single" w:sz="1" w:space="0" w:color="CCCCCC"/>
              <w:right w:val="single" w:sz="1" w:space="0" w:color="CCCCCC"/>
            </w:tcBorders>
            <w:shd w:val="clear" w:color="auto" w:fill="F0FFF0"/>
            <w:tcMar>
              <w:top w:w="80" w:type="dxa"/>
              <w:left w:w="80" w:type="dxa"/>
              <w:bottom w:w="80" w:type="dxa"/>
              <w:right w:w="80" w:type="dxa"/>
            </w:tcMar>
          </w:tcPr>
          <w:p w14:paraId="233D20FC"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4 kişi (%12)</w:t>
            </w:r>
          </w:p>
        </w:tc>
        <w:tc>
          <w:tcPr>
            <w:tcW w:w="1454" w:type="dxa"/>
            <w:tcBorders>
              <w:top w:val="single" w:sz="1" w:space="0" w:color="CCCCCC"/>
              <w:left w:val="single" w:sz="1" w:space="0" w:color="CCCCCC"/>
              <w:bottom w:val="single" w:sz="1" w:space="0" w:color="CCCCCC"/>
              <w:right w:val="single" w:sz="1" w:space="0" w:color="CCCCCC"/>
            </w:tcBorders>
            <w:shd w:val="clear" w:color="auto" w:fill="F0FFF0"/>
            <w:tcMar>
              <w:top w:w="80" w:type="dxa"/>
              <w:left w:w="80" w:type="dxa"/>
              <w:bottom w:w="80" w:type="dxa"/>
              <w:right w:w="80" w:type="dxa"/>
            </w:tcMar>
          </w:tcPr>
          <w:p w14:paraId="7B2722EF"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25 kişi (%74)</w:t>
            </w:r>
          </w:p>
        </w:tc>
        <w:tc>
          <w:tcPr>
            <w:tcW w:w="1444" w:type="dxa"/>
            <w:tcBorders>
              <w:top w:val="single" w:sz="1" w:space="0" w:color="CCCCCC"/>
              <w:left w:val="single" w:sz="1" w:space="0" w:color="CCCCCC"/>
              <w:bottom w:val="single" w:sz="1" w:space="0" w:color="CCCCCC"/>
              <w:right w:val="single" w:sz="1" w:space="0" w:color="CCCCCC"/>
            </w:tcBorders>
            <w:shd w:val="clear" w:color="auto" w:fill="EDF9ED"/>
            <w:tcMar>
              <w:top w:w="80" w:type="dxa"/>
              <w:left w:w="80" w:type="dxa"/>
              <w:bottom w:w="80" w:type="dxa"/>
              <w:right w:w="80" w:type="dxa"/>
            </w:tcMar>
          </w:tcPr>
          <w:p w14:paraId="27741E4A"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1A6B1A"/>
              </w:rPr>
              <w:t>En yüksek</w:t>
            </w:r>
          </w:p>
        </w:tc>
      </w:tr>
      <w:tr w:rsidR="00FC31C4" w:rsidRPr="00FC31C4" w14:paraId="34EAC935" w14:textId="77777777" w:rsidTr="00FC31C4">
        <w:trPr>
          <w:trHeight w:val="232"/>
        </w:trPr>
        <w:tc>
          <w:tcPr>
            <w:tcW w:w="371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480ED5" w14:textId="77777777" w:rsidR="00FC31C4" w:rsidRPr="00FC31C4" w:rsidRDefault="00FC31C4" w:rsidP="00775EEE">
            <w:pPr>
              <w:rPr>
                <w:rFonts w:ascii="Times New Roman" w:hAnsi="Times New Roman" w:cs="Times New Roman"/>
              </w:rPr>
            </w:pPr>
            <w:r w:rsidRPr="00FC31C4">
              <w:rPr>
                <w:rFonts w:ascii="Times New Roman" w:hAnsi="Times New Roman" w:cs="Times New Roman"/>
              </w:rPr>
              <w:t>Alana Özgü Yetkinlik</w:t>
            </w:r>
          </w:p>
        </w:tc>
        <w:tc>
          <w:tcPr>
            <w:tcW w:w="124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656DB228"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1F4E79"/>
              </w:rPr>
              <w:t>5.44</w:t>
            </w:r>
          </w:p>
        </w:tc>
        <w:tc>
          <w:tcPr>
            <w:tcW w:w="145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3C588BE3"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10 kişi (%29)</w:t>
            </w:r>
          </w:p>
        </w:tc>
        <w:tc>
          <w:tcPr>
            <w:tcW w:w="1454"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2BFB57C3"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rPr>
              <w:t>15 kişi (%44)</w:t>
            </w:r>
          </w:p>
        </w:tc>
        <w:tc>
          <w:tcPr>
            <w:tcW w:w="1444"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64629493" w14:textId="77777777" w:rsidR="00FC31C4" w:rsidRPr="00FC31C4" w:rsidRDefault="00FC31C4" w:rsidP="00775EEE">
            <w:pPr>
              <w:jc w:val="center"/>
              <w:rPr>
                <w:rFonts w:ascii="Times New Roman" w:hAnsi="Times New Roman" w:cs="Times New Roman"/>
              </w:rPr>
            </w:pPr>
            <w:r w:rsidRPr="00FC31C4">
              <w:rPr>
                <w:rFonts w:ascii="Times New Roman" w:hAnsi="Times New Roman" w:cs="Times New Roman"/>
                <w:b/>
                <w:bCs/>
                <w:color w:val="404040"/>
              </w:rPr>
              <w:t>Orta</w:t>
            </w:r>
          </w:p>
        </w:tc>
      </w:tr>
    </w:tbl>
    <w:p w14:paraId="300D4155" w14:textId="77777777" w:rsidR="00FC31C4" w:rsidRPr="00FC31C4" w:rsidRDefault="00FC31C4" w:rsidP="00FC31C4">
      <w:pPr>
        <w:spacing w:before="480" w:after="120"/>
        <w:jc w:val="both"/>
        <w:rPr>
          <w:rFonts w:ascii="Times New Roman" w:hAnsi="Times New Roman" w:cs="Times New Roman"/>
          <w:b/>
          <w:bCs/>
          <w:sz w:val="24"/>
          <w:szCs w:val="24"/>
        </w:rPr>
      </w:pPr>
    </w:p>
    <w:p w14:paraId="185E235C" w14:textId="0B21BE40" w:rsidR="00E27CD0" w:rsidRPr="00FC31C4" w:rsidRDefault="003B4971" w:rsidP="00FC31C4">
      <w:pPr>
        <w:spacing w:after="80"/>
        <w:jc w:val="center"/>
        <w:rPr>
          <w:rFonts w:ascii="Times New Roman" w:hAnsi="Times New Roman" w:cs="Times New Roman"/>
          <w:b/>
          <w:bCs/>
          <w:sz w:val="24"/>
          <w:szCs w:val="24"/>
        </w:rPr>
      </w:pPr>
      <w:r w:rsidRPr="00FC31C4">
        <w:rPr>
          <w:rFonts w:ascii="Times New Roman" w:hAnsi="Times New Roman" w:cs="Times New Roman"/>
          <w:b/>
          <w:bCs/>
          <w:color w:val="2E75B6"/>
          <w:sz w:val="24"/>
          <w:szCs w:val="24"/>
        </w:rPr>
        <w:t>Çalıştay SWOT Analizi ve Değerlendirme Raporu</w:t>
      </w:r>
    </w:p>
    <w:p w14:paraId="225E2010" w14:textId="12DA4955" w:rsidR="00E27CD0" w:rsidRPr="00FC31C4" w:rsidRDefault="00AA4D1B" w:rsidP="00D809F3">
      <w:pPr>
        <w:spacing w:after="480"/>
        <w:jc w:val="both"/>
        <w:rPr>
          <w:rFonts w:ascii="Times New Roman" w:hAnsi="Times New Roman" w:cs="Times New Roman"/>
          <w:sz w:val="24"/>
          <w:szCs w:val="24"/>
        </w:rPr>
      </w:pPr>
      <w:r w:rsidRPr="00FC31C4">
        <w:rPr>
          <w:rFonts w:ascii="Times New Roman" w:hAnsi="Times New Roman" w:cs="Times New Roman"/>
          <w:color w:val="555555"/>
          <w:sz w:val="24"/>
          <w:szCs w:val="24"/>
        </w:rPr>
        <w:t xml:space="preserve">Bu rapor, intörn hekimlerin çalıştay </w:t>
      </w:r>
      <w:r w:rsidR="00FC31C4" w:rsidRPr="00FC31C4">
        <w:rPr>
          <w:rFonts w:ascii="Times New Roman" w:hAnsi="Times New Roman" w:cs="Times New Roman"/>
          <w:color w:val="555555"/>
          <w:sz w:val="24"/>
          <w:szCs w:val="24"/>
        </w:rPr>
        <w:t xml:space="preserve">sırasında </w:t>
      </w:r>
      <w:r w:rsidRPr="00FC31C4">
        <w:rPr>
          <w:rFonts w:ascii="Times New Roman" w:hAnsi="Times New Roman" w:cs="Times New Roman"/>
          <w:color w:val="555555"/>
          <w:sz w:val="24"/>
          <w:szCs w:val="24"/>
        </w:rPr>
        <w:t>geri bildirimleri esas alınarak hazırlanmıştır. Tüm stajlar ve genel intörnlük dönemi kapsanmış; bulgular SWOT çerçevesinde analiz edilip öncelikli eylem önerileriyle sunulmuştur.</w:t>
      </w:r>
    </w:p>
    <w:p w14:paraId="1000CEDF" w14:textId="77777777" w:rsidR="00E27CD0" w:rsidRPr="00FC31C4" w:rsidRDefault="00AA4D1B" w:rsidP="00D809F3">
      <w:pPr>
        <w:pStyle w:val="Balk1"/>
        <w:pBdr>
          <w:bottom w:val="single" w:sz="6" w:space="1" w:color="1F4E79"/>
        </w:pBdr>
        <w:jc w:val="both"/>
        <w:rPr>
          <w:rFonts w:ascii="Times New Roman" w:hAnsi="Times New Roman" w:cs="Times New Roman"/>
          <w:sz w:val="24"/>
          <w:szCs w:val="24"/>
        </w:rPr>
      </w:pPr>
      <w:r w:rsidRPr="00FC31C4">
        <w:rPr>
          <w:rFonts w:ascii="Times New Roman" w:hAnsi="Times New Roman" w:cs="Times New Roman"/>
          <w:sz w:val="24"/>
          <w:szCs w:val="24"/>
        </w:rPr>
        <w:t>1. SWOT Matrisi — Gene</w:t>
      </w:r>
      <w:r w:rsidRPr="00FC31C4">
        <w:rPr>
          <w:rFonts w:ascii="Times New Roman" w:hAnsi="Times New Roman" w:cs="Times New Roman"/>
          <w:sz w:val="24"/>
          <w:szCs w:val="24"/>
        </w:rPr>
        <w:t>l Özet</w:t>
      </w:r>
    </w:p>
    <w:p w14:paraId="0A0CF850" w14:textId="77777777" w:rsidR="00E27CD0" w:rsidRPr="00FC31C4" w:rsidRDefault="00AA4D1B" w:rsidP="00D809F3">
      <w:pPr>
        <w:spacing w:before="60" w:after="60"/>
        <w:jc w:val="both"/>
        <w:rPr>
          <w:rFonts w:ascii="Times New Roman" w:hAnsi="Times New Roman" w:cs="Times New Roman"/>
          <w:sz w:val="24"/>
          <w:szCs w:val="24"/>
        </w:rPr>
      </w:pPr>
      <w:r w:rsidRPr="00FC31C4">
        <w:rPr>
          <w:rFonts w:ascii="Times New Roman" w:hAnsi="Times New Roman" w:cs="Times New Roman"/>
          <w:sz w:val="24"/>
          <w:szCs w:val="24"/>
        </w:rPr>
        <w:t>Aşağıdaki tablo, çalıştay verilerinden elde edilen güçlü yönleri, zayıf yönleri, fırsatları ve tehditleri dört kadranda özetlemektedir.</w:t>
      </w:r>
    </w:p>
    <w:p w14:paraId="2E9ECA7D" w14:textId="77777777" w:rsidR="00E27CD0" w:rsidRPr="00FC31C4" w:rsidRDefault="00E27CD0" w:rsidP="00D809F3">
      <w:pPr>
        <w:spacing w:before="60" w:after="60"/>
        <w:jc w:val="both"/>
        <w:rPr>
          <w:rFonts w:ascii="Times New Roman" w:hAnsi="Times New Roman" w:cs="Times New Roman"/>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E27CD0" w:rsidRPr="00FC31C4" w14:paraId="63711B91" w14:textId="77777777">
        <w:tc>
          <w:tcPr>
            <w:tcW w:w="4513" w:type="dxa"/>
            <w:tcBorders>
              <w:top w:val="single" w:sz="1" w:space="0" w:color="CCCCCC"/>
              <w:left w:val="single" w:sz="1" w:space="0" w:color="CCCCCC"/>
              <w:bottom w:val="single" w:sz="1" w:space="0" w:color="CCCCCC"/>
              <w:right w:val="single" w:sz="1" w:space="0" w:color="CCCCCC"/>
            </w:tcBorders>
            <w:shd w:val="clear" w:color="auto" w:fill="D5E8D4"/>
            <w:tcMar>
              <w:top w:w="100" w:type="dxa"/>
              <w:left w:w="150" w:type="dxa"/>
              <w:bottom w:w="100" w:type="dxa"/>
              <w:right w:w="150" w:type="dxa"/>
            </w:tcMar>
          </w:tcPr>
          <w:p w14:paraId="1CCAE472" w14:textId="77777777" w:rsidR="00E27CD0" w:rsidRPr="00FC31C4" w:rsidRDefault="00AA4D1B" w:rsidP="00D809F3">
            <w:pPr>
              <w:jc w:val="both"/>
              <w:rPr>
                <w:rFonts w:ascii="Times New Roman" w:hAnsi="Times New Roman" w:cs="Times New Roman"/>
                <w:sz w:val="24"/>
                <w:szCs w:val="24"/>
              </w:rPr>
            </w:pPr>
            <w:r w:rsidRPr="00FC31C4">
              <w:rPr>
                <w:rFonts w:ascii="Segoe UI Emoji" w:hAnsi="Segoe UI Emoji" w:cs="Segoe UI Emoji"/>
                <w:b/>
                <w:bCs/>
                <w:color w:val="1A5E1A"/>
                <w:sz w:val="24"/>
                <w:szCs w:val="24"/>
              </w:rPr>
              <w:t>💪</w:t>
            </w:r>
            <w:r w:rsidRPr="00FC31C4">
              <w:rPr>
                <w:rFonts w:ascii="Times New Roman" w:hAnsi="Times New Roman" w:cs="Times New Roman"/>
                <w:b/>
                <w:bCs/>
                <w:color w:val="1A5E1A"/>
                <w:sz w:val="24"/>
                <w:szCs w:val="24"/>
              </w:rPr>
              <w:t xml:space="preserve">  GÜÇLÜ YÖNLER (Strengths)</w:t>
            </w:r>
          </w:p>
        </w:tc>
        <w:tc>
          <w:tcPr>
            <w:tcW w:w="4513" w:type="dxa"/>
            <w:tcBorders>
              <w:top w:val="single" w:sz="1" w:space="0" w:color="CCCCCC"/>
              <w:left w:val="single" w:sz="1" w:space="0" w:color="CCCCCC"/>
              <w:bottom w:val="single" w:sz="1" w:space="0" w:color="CCCCCC"/>
              <w:right w:val="single" w:sz="1" w:space="0" w:color="CCCCCC"/>
            </w:tcBorders>
            <w:shd w:val="clear" w:color="auto" w:fill="FFE6CC"/>
            <w:tcMar>
              <w:top w:w="100" w:type="dxa"/>
              <w:left w:w="150" w:type="dxa"/>
              <w:bottom w:w="100" w:type="dxa"/>
              <w:right w:w="150" w:type="dxa"/>
            </w:tcMar>
          </w:tcPr>
          <w:p w14:paraId="2EAAA462" w14:textId="77777777" w:rsidR="00E27CD0" w:rsidRPr="00FC31C4" w:rsidRDefault="00AA4D1B" w:rsidP="00D809F3">
            <w:pPr>
              <w:jc w:val="both"/>
              <w:rPr>
                <w:rFonts w:ascii="Times New Roman" w:hAnsi="Times New Roman" w:cs="Times New Roman"/>
                <w:sz w:val="24"/>
                <w:szCs w:val="24"/>
              </w:rPr>
            </w:pPr>
            <w:r w:rsidRPr="00FC31C4">
              <w:rPr>
                <w:rFonts w:ascii="Segoe UI Emoji" w:hAnsi="Segoe UI Emoji" w:cs="Segoe UI Emoji"/>
                <w:b/>
                <w:bCs/>
                <w:color w:val="7D3C00"/>
                <w:sz w:val="24"/>
                <w:szCs w:val="24"/>
              </w:rPr>
              <w:t>⚠</w:t>
            </w:r>
            <w:r w:rsidRPr="00FC31C4">
              <w:rPr>
                <w:rFonts w:ascii="Segoe UI Emoji" w:hAnsi="Segoe UI Emoji" w:cs="Segoe UI Emoji"/>
                <w:b/>
                <w:bCs/>
                <w:color w:val="7D3C00"/>
                <w:sz w:val="24"/>
                <w:szCs w:val="24"/>
              </w:rPr>
              <w:t>️</w:t>
            </w:r>
            <w:r w:rsidRPr="00FC31C4">
              <w:rPr>
                <w:rFonts w:ascii="Times New Roman" w:hAnsi="Times New Roman" w:cs="Times New Roman"/>
                <w:b/>
                <w:bCs/>
                <w:color w:val="7D3C00"/>
                <w:sz w:val="24"/>
                <w:szCs w:val="24"/>
              </w:rPr>
              <w:t xml:space="preserve">  ZAYIF YÖNLER (Weaknesses)</w:t>
            </w:r>
          </w:p>
        </w:tc>
      </w:tr>
      <w:tr w:rsidR="00E27CD0" w:rsidRPr="00FC31C4" w14:paraId="1084B519" w14:textId="77777777">
        <w:tc>
          <w:tcPr>
            <w:tcW w:w="4513" w:type="dxa"/>
            <w:tcBorders>
              <w:top w:val="single" w:sz="1" w:space="0" w:color="CCCCCC"/>
              <w:left w:val="single" w:sz="1" w:space="0" w:color="CCCCCC"/>
              <w:bottom w:val="single" w:sz="1" w:space="0" w:color="CCCCCC"/>
              <w:right w:val="single" w:sz="1" w:space="0" w:color="CCCCCC"/>
            </w:tcBorders>
            <w:shd w:val="clear" w:color="auto" w:fill="F0FFF0"/>
            <w:tcMar>
              <w:top w:w="80" w:type="dxa"/>
              <w:left w:w="150" w:type="dxa"/>
              <w:bottom w:w="80" w:type="dxa"/>
              <w:right w:w="150" w:type="dxa"/>
            </w:tcMar>
          </w:tcPr>
          <w:p w14:paraId="053B6CF6"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Asistan-intörn iletişimi genel iyi</w:t>
            </w:r>
          </w:p>
          <w:p w14:paraId="53CFC054"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xml:space="preserve">• Meslektaş </w:t>
            </w:r>
            <w:r w:rsidRPr="00FC31C4">
              <w:rPr>
                <w:rFonts w:ascii="Times New Roman" w:hAnsi="Times New Roman" w:cs="Times New Roman"/>
                <w:sz w:val="24"/>
                <w:szCs w:val="24"/>
              </w:rPr>
              <w:t>tutumu, angarya müdahalesi</w:t>
            </w:r>
          </w:p>
          <w:p w14:paraId="641241BC"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Acil stajında yüksek hekimlik pratiği</w:t>
            </w:r>
          </w:p>
          <w:p w14:paraId="2B70C6BA"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Primer hasta bakımı imkânı (acil)</w:t>
            </w:r>
          </w:p>
          <w:p w14:paraId="2084A9F6"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Kadın doğumda net iş listesi</w:t>
            </w:r>
          </w:p>
          <w:p w14:paraId="1C78F46C"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Teorik/pratik sorulara yanıt verilmesi</w:t>
            </w:r>
          </w:p>
          <w:p w14:paraId="67459399"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Asistanların intörn için alan açması</w:t>
            </w:r>
          </w:p>
        </w:tc>
        <w:tc>
          <w:tcPr>
            <w:tcW w:w="4513" w:type="dxa"/>
            <w:tcBorders>
              <w:top w:val="single" w:sz="1" w:space="0" w:color="CCCCCC"/>
              <w:left w:val="single" w:sz="1" w:space="0" w:color="CCCCCC"/>
              <w:bottom w:val="single" w:sz="1" w:space="0" w:color="CCCCCC"/>
              <w:right w:val="single" w:sz="1" w:space="0" w:color="CCCCCC"/>
            </w:tcBorders>
            <w:shd w:val="clear" w:color="auto" w:fill="FFF8F0"/>
            <w:tcMar>
              <w:top w:w="80" w:type="dxa"/>
              <w:left w:w="150" w:type="dxa"/>
              <w:bottom w:w="80" w:type="dxa"/>
              <w:right w:w="150" w:type="dxa"/>
            </w:tcMar>
          </w:tcPr>
          <w:p w14:paraId="733C2F8B"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Angarya iş yükü (kağıt, taşıma, kan alma</w:t>
            </w:r>
            <w:r w:rsidRPr="00FC31C4">
              <w:rPr>
                <w:rFonts w:ascii="Times New Roman" w:hAnsi="Times New Roman" w:cs="Times New Roman"/>
                <w:sz w:val="24"/>
                <w:szCs w:val="24"/>
              </w:rPr>
              <w:t>)</w:t>
            </w:r>
          </w:p>
          <w:p w14:paraId="66F8D4F7"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Nöbet odaları yetersiz ve küçük</w:t>
            </w:r>
          </w:p>
          <w:p w14:paraId="730EF01A"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Nöbet ertesi uzun vizit bekleme</w:t>
            </w:r>
          </w:p>
          <w:p w14:paraId="1F1E16A0"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Stajlar arası görev tanımı belirsizliği</w:t>
            </w:r>
          </w:p>
          <w:p w14:paraId="6056B14B" w14:textId="08163834"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xml:space="preserve">• </w:t>
            </w:r>
            <w:r w:rsidR="00D809F3" w:rsidRPr="00FC31C4">
              <w:rPr>
                <w:rFonts w:ascii="Times New Roman" w:hAnsi="Times New Roman" w:cs="Times New Roman"/>
                <w:sz w:val="24"/>
                <w:szCs w:val="24"/>
              </w:rPr>
              <w:t>Münferit olan t</w:t>
            </w:r>
            <w:r w:rsidRPr="00FC31C4">
              <w:rPr>
                <w:rFonts w:ascii="Times New Roman" w:hAnsi="Times New Roman" w:cs="Times New Roman"/>
                <w:sz w:val="24"/>
                <w:szCs w:val="24"/>
              </w:rPr>
              <w:t>oplu cezalandırma adaletsizliği</w:t>
            </w:r>
          </w:p>
          <w:p w14:paraId="3D5F6A7B" w14:textId="29D75952"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Hemşire/personelin iş yükünü intörne yıkması</w:t>
            </w:r>
          </w:p>
        </w:tc>
      </w:tr>
      <w:tr w:rsidR="00E27CD0" w:rsidRPr="00FC31C4" w14:paraId="6C2E4639" w14:textId="77777777">
        <w:tc>
          <w:tcPr>
            <w:tcW w:w="4513" w:type="dxa"/>
            <w:tcBorders>
              <w:top w:val="single" w:sz="1" w:space="0" w:color="CCCCCC"/>
              <w:left w:val="single" w:sz="1" w:space="0" w:color="CCCCCC"/>
              <w:bottom w:val="single" w:sz="1" w:space="0" w:color="CCCCCC"/>
              <w:right w:val="single" w:sz="1" w:space="0" w:color="CCCCCC"/>
            </w:tcBorders>
            <w:shd w:val="clear" w:color="auto" w:fill="DAE8FC"/>
            <w:tcMar>
              <w:top w:w="100" w:type="dxa"/>
              <w:left w:w="150" w:type="dxa"/>
              <w:bottom w:w="100" w:type="dxa"/>
              <w:right w:w="150" w:type="dxa"/>
            </w:tcMar>
          </w:tcPr>
          <w:p w14:paraId="4E242D57" w14:textId="77777777" w:rsidR="00E27CD0" w:rsidRPr="00FC31C4" w:rsidRDefault="00AA4D1B" w:rsidP="00D809F3">
            <w:pPr>
              <w:jc w:val="both"/>
              <w:rPr>
                <w:rFonts w:ascii="Times New Roman" w:hAnsi="Times New Roman" w:cs="Times New Roman"/>
                <w:sz w:val="24"/>
                <w:szCs w:val="24"/>
              </w:rPr>
            </w:pPr>
            <w:r w:rsidRPr="00FC31C4">
              <w:rPr>
                <w:rFonts w:ascii="Segoe UI Emoji" w:hAnsi="Segoe UI Emoji" w:cs="Segoe UI Emoji"/>
                <w:b/>
                <w:bCs/>
                <w:color w:val="1A3A6B"/>
                <w:sz w:val="24"/>
                <w:szCs w:val="24"/>
              </w:rPr>
              <w:t>🌟</w:t>
            </w:r>
            <w:r w:rsidRPr="00FC31C4">
              <w:rPr>
                <w:rFonts w:ascii="Times New Roman" w:hAnsi="Times New Roman" w:cs="Times New Roman"/>
                <w:b/>
                <w:bCs/>
                <w:color w:val="1A3A6B"/>
                <w:sz w:val="24"/>
                <w:szCs w:val="24"/>
              </w:rPr>
              <w:t xml:space="preserve">  FIRSATLAR (Opportunities)</w:t>
            </w:r>
          </w:p>
        </w:tc>
        <w:tc>
          <w:tcPr>
            <w:tcW w:w="4513" w:type="dxa"/>
            <w:tcBorders>
              <w:top w:val="single" w:sz="1" w:space="0" w:color="CCCCCC"/>
              <w:left w:val="single" w:sz="1" w:space="0" w:color="CCCCCC"/>
              <w:bottom w:val="single" w:sz="1" w:space="0" w:color="CCCCCC"/>
              <w:right w:val="single" w:sz="1" w:space="0" w:color="CCCCCC"/>
            </w:tcBorders>
            <w:shd w:val="clear" w:color="auto" w:fill="F8CECC"/>
            <w:tcMar>
              <w:top w:w="100" w:type="dxa"/>
              <w:left w:w="150" w:type="dxa"/>
              <w:bottom w:w="100" w:type="dxa"/>
              <w:right w:w="150" w:type="dxa"/>
            </w:tcMar>
          </w:tcPr>
          <w:p w14:paraId="5CEC315B" w14:textId="77777777" w:rsidR="00E27CD0" w:rsidRPr="00FC31C4" w:rsidRDefault="00AA4D1B" w:rsidP="00D809F3">
            <w:pPr>
              <w:jc w:val="both"/>
              <w:rPr>
                <w:rFonts w:ascii="Times New Roman" w:hAnsi="Times New Roman" w:cs="Times New Roman"/>
                <w:sz w:val="24"/>
                <w:szCs w:val="24"/>
              </w:rPr>
            </w:pPr>
            <w:r w:rsidRPr="00FC31C4">
              <w:rPr>
                <w:rFonts w:ascii="Segoe UI Emoji" w:hAnsi="Segoe UI Emoji" w:cs="Segoe UI Emoji"/>
                <w:b/>
                <w:bCs/>
                <w:color w:val="7D0000"/>
                <w:sz w:val="24"/>
                <w:szCs w:val="24"/>
              </w:rPr>
              <w:t>🚨</w:t>
            </w:r>
            <w:r w:rsidRPr="00FC31C4">
              <w:rPr>
                <w:rFonts w:ascii="Times New Roman" w:hAnsi="Times New Roman" w:cs="Times New Roman"/>
                <w:b/>
                <w:bCs/>
                <w:color w:val="7D0000"/>
                <w:sz w:val="24"/>
                <w:szCs w:val="24"/>
              </w:rPr>
              <w:t xml:space="preserve">  TEHDİTLER</w:t>
            </w:r>
            <w:r w:rsidRPr="00FC31C4">
              <w:rPr>
                <w:rFonts w:ascii="Times New Roman" w:hAnsi="Times New Roman" w:cs="Times New Roman"/>
                <w:b/>
                <w:bCs/>
                <w:color w:val="7D0000"/>
                <w:sz w:val="24"/>
                <w:szCs w:val="24"/>
              </w:rPr>
              <w:t xml:space="preserve"> (Threats)</w:t>
            </w:r>
          </w:p>
        </w:tc>
      </w:tr>
      <w:tr w:rsidR="00E27CD0" w:rsidRPr="00FC31C4" w14:paraId="42513B1F" w14:textId="77777777">
        <w:tc>
          <w:tcPr>
            <w:tcW w:w="4513" w:type="dxa"/>
            <w:tcBorders>
              <w:top w:val="single" w:sz="1" w:space="0" w:color="CCCCCC"/>
              <w:left w:val="single" w:sz="1" w:space="0" w:color="CCCCCC"/>
              <w:bottom w:val="single" w:sz="1" w:space="0" w:color="CCCCCC"/>
              <w:right w:val="single" w:sz="1" w:space="0" w:color="CCCCCC"/>
            </w:tcBorders>
            <w:shd w:val="clear" w:color="auto" w:fill="F0F8FF"/>
            <w:tcMar>
              <w:top w:w="80" w:type="dxa"/>
              <w:left w:w="150" w:type="dxa"/>
              <w:bottom w:w="80" w:type="dxa"/>
              <w:right w:w="150" w:type="dxa"/>
            </w:tcMar>
          </w:tcPr>
          <w:p w14:paraId="4648F490"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Staj başı oryantasyon oluşturulabilir</w:t>
            </w:r>
          </w:p>
          <w:p w14:paraId="77DB1BE4"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Her stajda günlük iş listesi tanımlanabilir</w:t>
            </w:r>
          </w:p>
          <w:p w14:paraId="2BC9E307"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İntörn karnesi güncellenebilir</w:t>
            </w:r>
          </w:p>
          <w:p w14:paraId="4A88C8B9" w14:textId="14F02948"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xml:space="preserve">• Seçmeli stajlar </w:t>
            </w:r>
            <w:r w:rsidR="00B370D5" w:rsidRPr="00FC31C4">
              <w:rPr>
                <w:rFonts w:ascii="Times New Roman" w:hAnsi="Times New Roman" w:cs="Times New Roman"/>
                <w:sz w:val="24"/>
                <w:szCs w:val="24"/>
              </w:rPr>
              <w:t>sayısı arttırılabilir.</w:t>
            </w:r>
          </w:p>
          <w:p w14:paraId="7C892FA7"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Nöbet ertesi sorumluluk kaldırılabilir</w:t>
            </w:r>
          </w:p>
          <w:p w14:paraId="35F620B1"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xml:space="preserve">• Boş odalar intörn odası olarak </w:t>
            </w:r>
            <w:r w:rsidRPr="00FC31C4">
              <w:rPr>
                <w:rFonts w:ascii="Times New Roman" w:hAnsi="Times New Roman" w:cs="Times New Roman"/>
                <w:sz w:val="24"/>
                <w:szCs w:val="24"/>
              </w:rPr>
              <w:t>ayrılabilir</w:t>
            </w:r>
          </w:p>
        </w:tc>
        <w:tc>
          <w:tcPr>
            <w:tcW w:w="4513" w:type="dxa"/>
            <w:tcBorders>
              <w:top w:val="single" w:sz="1" w:space="0" w:color="CCCCCC"/>
              <w:left w:val="single" w:sz="1" w:space="0" w:color="CCCCCC"/>
              <w:bottom w:val="single" w:sz="1" w:space="0" w:color="CCCCCC"/>
              <w:right w:val="single" w:sz="1" w:space="0" w:color="CCCCCC"/>
            </w:tcBorders>
            <w:shd w:val="clear" w:color="auto" w:fill="FFF5F5"/>
            <w:tcMar>
              <w:top w:w="80" w:type="dxa"/>
              <w:left w:w="150" w:type="dxa"/>
              <w:bottom w:w="80" w:type="dxa"/>
              <w:right w:w="150" w:type="dxa"/>
            </w:tcMar>
          </w:tcPr>
          <w:p w14:paraId="3E50E611"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Motivasyon kaybı → eğitim kalitesi düşüşü</w:t>
            </w:r>
          </w:p>
          <w:p w14:paraId="4096E3C1"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Sistematik angarya → mesleki kimlik erozyonu</w:t>
            </w:r>
          </w:p>
          <w:p w14:paraId="77AC4B30"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Personel eksikliğinin intörne yüklenmesi</w:t>
            </w:r>
          </w:p>
          <w:p w14:paraId="27CD55BE"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Yetersiz dinlenme → nöbet performans riski</w:t>
            </w:r>
          </w:p>
          <w:p w14:paraId="0B5F23AE"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Görüntülemeye yalnız gönderilme güvenliği</w:t>
            </w:r>
          </w:p>
          <w:p w14:paraId="5BE892E4"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xml:space="preserve">• Özel tel. numarası </w:t>
            </w:r>
            <w:r w:rsidRPr="00FC31C4">
              <w:rPr>
                <w:rFonts w:ascii="Times New Roman" w:hAnsi="Times New Roman" w:cs="Times New Roman"/>
                <w:sz w:val="24"/>
                <w:szCs w:val="24"/>
              </w:rPr>
              <w:t>paylaşımı: sınır ihlali</w:t>
            </w:r>
          </w:p>
          <w:p w14:paraId="04581604" w14:textId="77777777" w:rsidR="00E27CD0" w:rsidRPr="00FC31C4" w:rsidRDefault="00AA4D1B" w:rsidP="00D809F3">
            <w:pPr>
              <w:spacing w:after="30"/>
              <w:jc w:val="both"/>
              <w:rPr>
                <w:rFonts w:ascii="Times New Roman" w:hAnsi="Times New Roman" w:cs="Times New Roman"/>
                <w:sz w:val="24"/>
                <w:szCs w:val="24"/>
              </w:rPr>
            </w:pPr>
            <w:r w:rsidRPr="00FC31C4">
              <w:rPr>
                <w:rFonts w:ascii="Times New Roman" w:hAnsi="Times New Roman" w:cs="Times New Roman"/>
                <w:sz w:val="24"/>
                <w:szCs w:val="24"/>
              </w:rPr>
              <w:t>• Belirsiz devam kuralları: hukuki savunmasızlık</w:t>
            </w:r>
          </w:p>
        </w:tc>
      </w:tr>
    </w:tbl>
    <w:p w14:paraId="4155D96C" w14:textId="77777777" w:rsidR="00E27CD0" w:rsidRDefault="00E27CD0" w:rsidP="00D809F3">
      <w:pPr>
        <w:spacing w:before="60" w:after="60"/>
        <w:jc w:val="both"/>
        <w:rPr>
          <w:rFonts w:ascii="Times New Roman" w:hAnsi="Times New Roman" w:cs="Times New Roman"/>
          <w:sz w:val="24"/>
          <w:szCs w:val="24"/>
        </w:rPr>
      </w:pPr>
    </w:p>
    <w:p w14:paraId="781F7146" w14:textId="77777777" w:rsidR="00A878B8" w:rsidRPr="00FC31C4" w:rsidRDefault="00A878B8" w:rsidP="00D809F3">
      <w:pPr>
        <w:spacing w:before="60" w:after="60"/>
        <w:jc w:val="both"/>
        <w:rPr>
          <w:rFonts w:ascii="Times New Roman" w:hAnsi="Times New Roman" w:cs="Times New Roman"/>
          <w:sz w:val="24"/>
          <w:szCs w:val="24"/>
        </w:rPr>
      </w:pPr>
    </w:p>
    <w:p w14:paraId="1582D0D0" w14:textId="77777777" w:rsidR="00E27CD0" w:rsidRPr="00FC31C4" w:rsidRDefault="00AA4D1B" w:rsidP="00D809F3">
      <w:pPr>
        <w:pStyle w:val="Balk1"/>
        <w:pBdr>
          <w:bottom w:val="single" w:sz="6" w:space="1" w:color="1F4E79"/>
        </w:pBdr>
        <w:jc w:val="both"/>
        <w:rPr>
          <w:rFonts w:ascii="Times New Roman" w:hAnsi="Times New Roman" w:cs="Times New Roman"/>
          <w:sz w:val="24"/>
          <w:szCs w:val="24"/>
        </w:rPr>
      </w:pPr>
      <w:r w:rsidRPr="00FC31C4">
        <w:rPr>
          <w:rFonts w:ascii="Times New Roman" w:hAnsi="Times New Roman" w:cs="Times New Roman"/>
          <w:sz w:val="24"/>
          <w:szCs w:val="24"/>
        </w:rPr>
        <w:t>2. Güçlü Yönler — Detaylı Analiz</w:t>
      </w:r>
    </w:p>
    <w:p w14:paraId="56918777" w14:textId="77777777" w:rsidR="00E27CD0" w:rsidRPr="00FC31C4" w:rsidRDefault="00AA4D1B"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2.1. İletişim ve Klinik Kültür</w:t>
      </w:r>
    </w:p>
    <w:p w14:paraId="2806BA25" w14:textId="77777777" w:rsidR="00E27CD0" w:rsidRPr="00FC31C4" w:rsidRDefault="00AA4D1B" w:rsidP="00D809F3">
      <w:pPr>
        <w:spacing w:before="60" w:after="60"/>
        <w:jc w:val="both"/>
        <w:rPr>
          <w:rFonts w:ascii="Times New Roman" w:hAnsi="Times New Roman" w:cs="Times New Roman"/>
          <w:sz w:val="24"/>
          <w:szCs w:val="24"/>
        </w:rPr>
      </w:pPr>
      <w:r w:rsidRPr="00FC31C4">
        <w:rPr>
          <w:rFonts w:ascii="Times New Roman" w:hAnsi="Times New Roman" w:cs="Times New Roman"/>
          <w:sz w:val="24"/>
          <w:szCs w:val="24"/>
        </w:rPr>
        <w:t xml:space="preserve">Katılımcıların büyük çoğunluğu asistan hekimler ve hocalarla iletişimin genel itibarıyla olumlu olduğunu </w:t>
      </w:r>
      <w:r w:rsidRPr="00FC31C4">
        <w:rPr>
          <w:rFonts w:ascii="Times New Roman" w:hAnsi="Times New Roman" w:cs="Times New Roman"/>
          <w:sz w:val="24"/>
          <w:szCs w:val="24"/>
        </w:rPr>
        <w:t>bildirmiştir. Bu durum, intörn eğitiminin temel motivasyon altyapısını sağlıklı tutmaktadır.</w:t>
      </w:r>
    </w:p>
    <w:p w14:paraId="251FF615"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Asistan ve hoca iletişimi genel olarak iyi değerlendirilmiştir.</w:t>
      </w:r>
    </w:p>
    <w:p w14:paraId="563058E5"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Pek çok asistan, intörnü meslektaş olarak kabul etmiş; angarya durumlarına aktif müdahale etmiştir.</w:t>
      </w:r>
    </w:p>
    <w:p w14:paraId="17CF3E28"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Teorik ve pratik sorulara yanıt verilmesi motivasyonu artıran başlıca etkenlerden biri olarak öne çıkmıştır.</w:t>
      </w:r>
    </w:p>
    <w:p w14:paraId="04904CC4" w14:textId="77777777" w:rsidR="00E27CD0" w:rsidRPr="00FC31C4" w:rsidRDefault="00E27CD0" w:rsidP="00D809F3">
      <w:pPr>
        <w:spacing w:before="60" w:after="60"/>
        <w:jc w:val="both"/>
        <w:rPr>
          <w:rFonts w:ascii="Times New Roman" w:hAnsi="Times New Roman" w:cs="Times New Roman"/>
          <w:sz w:val="24"/>
          <w:szCs w:val="24"/>
        </w:rPr>
      </w:pPr>
    </w:p>
    <w:p w14:paraId="2EDDB294" w14:textId="77777777" w:rsidR="00E27CD0" w:rsidRPr="00FC31C4" w:rsidRDefault="00AA4D1B"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2.2. Klinik Pratik Olanakları</w:t>
      </w:r>
    </w:p>
    <w:p w14:paraId="0A189429" w14:textId="77777777" w:rsidR="00E27CD0" w:rsidRPr="00FC31C4" w:rsidRDefault="00AA4D1B" w:rsidP="00D809F3">
      <w:pPr>
        <w:spacing w:before="60" w:after="60"/>
        <w:jc w:val="both"/>
        <w:rPr>
          <w:rFonts w:ascii="Times New Roman" w:hAnsi="Times New Roman" w:cs="Times New Roman"/>
          <w:sz w:val="24"/>
          <w:szCs w:val="24"/>
        </w:rPr>
      </w:pPr>
      <w:r w:rsidRPr="00FC31C4">
        <w:rPr>
          <w:rFonts w:ascii="Times New Roman" w:hAnsi="Times New Roman" w:cs="Times New Roman"/>
          <w:sz w:val="24"/>
          <w:szCs w:val="24"/>
        </w:rPr>
        <w:t>Özellikle acil ve bazı dahili stajlarda intörnlerin primer hasta bakımına katılabilmesi, hekimlik kimliğinin gelişi</w:t>
      </w:r>
      <w:r w:rsidRPr="00FC31C4">
        <w:rPr>
          <w:rFonts w:ascii="Times New Roman" w:hAnsi="Times New Roman" w:cs="Times New Roman"/>
          <w:sz w:val="24"/>
          <w:szCs w:val="24"/>
        </w:rPr>
        <w:t>mi açısından oldukça değerli bulunmuştur.</w:t>
      </w:r>
    </w:p>
    <w:p w14:paraId="6BF8ABCE"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Acil stajında primer hasta bakımı yapılabilmesi büyük bir artı olarak öne çıkmaktadır.</w:t>
      </w:r>
    </w:p>
    <w:p w14:paraId="3DE3DF8B"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Bazı stajlarda hasta tedavisine aktif katılım sağlanmıştır.</w:t>
      </w:r>
    </w:p>
    <w:p w14:paraId="6A03ABF0"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 xml:space="preserve">Asistanların işlem sırasında intörnlere alan açması pratik </w:t>
      </w:r>
      <w:r w:rsidRPr="00FC31C4">
        <w:rPr>
          <w:rFonts w:ascii="Times New Roman" w:hAnsi="Times New Roman" w:cs="Times New Roman"/>
          <w:sz w:val="24"/>
          <w:szCs w:val="24"/>
        </w:rPr>
        <w:t>becerilerin gelişimine katkı sağlamıştır.</w:t>
      </w:r>
    </w:p>
    <w:p w14:paraId="29E80B3A"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Kadın Doğum stajındaki net iş listesi sistemi, intörnlerin görevlerini öngörülebilir biçimde planlamasına olanak tanımıştır.</w:t>
      </w:r>
    </w:p>
    <w:p w14:paraId="46037F45" w14:textId="77777777" w:rsidR="00E27CD0" w:rsidRPr="00FC31C4" w:rsidRDefault="00E27CD0" w:rsidP="00D809F3">
      <w:pPr>
        <w:spacing w:before="60" w:after="60"/>
        <w:jc w:val="both"/>
        <w:rPr>
          <w:rFonts w:ascii="Times New Roman" w:hAnsi="Times New Roman" w:cs="Times New Roman"/>
          <w:sz w:val="24"/>
          <w:szCs w:val="24"/>
        </w:rPr>
      </w:pPr>
    </w:p>
    <w:p w14:paraId="0F3653AF" w14:textId="77777777" w:rsidR="00E27CD0" w:rsidRPr="00FC31C4" w:rsidRDefault="00AA4D1B" w:rsidP="00D809F3">
      <w:pPr>
        <w:pStyle w:val="Balk1"/>
        <w:pBdr>
          <w:bottom w:val="single" w:sz="6" w:space="1" w:color="1F4E79"/>
        </w:pBdr>
        <w:jc w:val="both"/>
        <w:rPr>
          <w:rFonts w:ascii="Times New Roman" w:hAnsi="Times New Roman" w:cs="Times New Roman"/>
          <w:sz w:val="24"/>
          <w:szCs w:val="24"/>
        </w:rPr>
      </w:pPr>
      <w:r w:rsidRPr="00FC31C4">
        <w:rPr>
          <w:rFonts w:ascii="Times New Roman" w:hAnsi="Times New Roman" w:cs="Times New Roman"/>
          <w:sz w:val="24"/>
          <w:szCs w:val="24"/>
        </w:rPr>
        <w:t>3. Zayıf Yönler — Detaylı Analiz</w:t>
      </w:r>
    </w:p>
    <w:p w14:paraId="32351D58" w14:textId="77777777" w:rsidR="00E27CD0" w:rsidRPr="00FC31C4" w:rsidRDefault="00AA4D1B"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3.1. Angarya İş Yükü</w:t>
      </w:r>
    </w:p>
    <w:p w14:paraId="3AB3785C" w14:textId="77777777" w:rsidR="00E27CD0" w:rsidRPr="00FC31C4" w:rsidRDefault="00AA4D1B" w:rsidP="00D809F3">
      <w:pPr>
        <w:spacing w:before="60" w:after="60"/>
        <w:jc w:val="both"/>
        <w:rPr>
          <w:rFonts w:ascii="Times New Roman" w:hAnsi="Times New Roman" w:cs="Times New Roman"/>
          <w:sz w:val="24"/>
          <w:szCs w:val="24"/>
        </w:rPr>
      </w:pPr>
      <w:r w:rsidRPr="00FC31C4">
        <w:rPr>
          <w:rFonts w:ascii="Times New Roman" w:hAnsi="Times New Roman" w:cs="Times New Roman"/>
          <w:sz w:val="24"/>
          <w:szCs w:val="24"/>
        </w:rPr>
        <w:t>Çalıştay genelinde en sık dile get</w:t>
      </w:r>
      <w:r w:rsidRPr="00FC31C4">
        <w:rPr>
          <w:rFonts w:ascii="Times New Roman" w:hAnsi="Times New Roman" w:cs="Times New Roman"/>
          <w:sz w:val="24"/>
          <w:szCs w:val="24"/>
        </w:rPr>
        <w:t>irilen sorun, intörnlerin hekimlik kapsamı dışındaki görevlere yönlendirilmesidir. Bu durum hem eğitim kalitesini hem de motivasyonu olumsuz etkilemektedir.</w:t>
      </w:r>
    </w:p>
    <w:p w14:paraId="121D2E87"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Kağıt, dosya, barkod, kaşe taşıma gibi idari işler birden fazla stajda raporlanmıştır.</w:t>
      </w:r>
    </w:p>
    <w:p w14:paraId="048EA100"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Venöz kan al</w:t>
      </w:r>
      <w:r w:rsidRPr="00FC31C4">
        <w:rPr>
          <w:rFonts w:ascii="Times New Roman" w:hAnsi="Times New Roman" w:cs="Times New Roman"/>
          <w:sz w:val="24"/>
          <w:szCs w:val="24"/>
        </w:rPr>
        <w:t>ma, hasta kaldırma-çevirme, kangaz ve malzeme taşıma gibi görevler hemşire/personel yerine intörnlere yüklenmiştir.</w:t>
      </w:r>
    </w:p>
    <w:p w14:paraId="6EC33A10" w14:textId="2A4F053E" w:rsidR="00E27CD0" w:rsidRPr="00FC31C4" w:rsidRDefault="00D809F3"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Bazı stajlarda hoca veya asistanların intörn üzerinden hastane kantininden kişisel alışveriş yaptırdığı bildirilmiştir. Bu durum ciddi bir mesleki sınır ihlalidir.</w:t>
      </w:r>
    </w:p>
    <w:p w14:paraId="52977970"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Bazı asistanların intörnün özel telefon numarasını hasta aratmak amacıyla kullandığı ifade edilmiştir.</w:t>
      </w:r>
    </w:p>
    <w:p w14:paraId="181AA0D2" w14:textId="77777777" w:rsidR="00E27CD0" w:rsidRPr="00FC31C4" w:rsidRDefault="00E27CD0" w:rsidP="00D809F3">
      <w:pPr>
        <w:spacing w:before="60" w:after="60"/>
        <w:jc w:val="both"/>
        <w:rPr>
          <w:rFonts w:ascii="Times New Roman" w:hAnsi="Times New Roman" w:cs="Times New Roman"/>
          <w:sz w:val="24"/>
          <w:szCs w:val="24"/>
        </w:rPr>
      </w:pPr>
    </w:p>
    <w:p w14:paraId="509857AD" w14:textId="77777777" w:rsidR="00E27CD0" w:rsidRPr="00FC31C4" w:rsidRDefault="00AA4D1B"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3.2. Fiziksel Koşullar</w:t>
      </w:r>
    </w:p>
    <w:p w14:paraId="7F687B4F" w14:textId="77777777" w:rsidR="00E27CD0" w:rsidRPr="00FC31C4" w:rsidRDefault="00AA4D1B" w:rsidP="00D809F3">
      <w:pPr>
        <w:spacing w:before="60" w:after="60"/>
        <w:jc w:val="both"/>
        <w:rPr>
          <w:rFonts w:ascii="Times New Roman" w:hAnsi="Times New Roman" w:cs="Times New Roman"/>
          <w:sz w:val="24"/>
          <w:szCs w:val="24"/>
        </w:rPr>
      </w:pPr>
      <w:r w:rsidRPr="00FC31C4">
        <w:rPr>
          <w:rFonts w:ascii="Times New Roman" w:hAnsi="Times New Roman" w:cs="Times New Roman"/>
          <w:sz w:val="24"/>
          <w:szCs w:val="24"/>
        </w:rPr>
        <w:t>Nöbet odalarının yetersizliği, neredeyse tüm stajlarda tekrar eden yapısal bir sorun olarak karşımıza çık</w:t>
      </w:r>
      <w:r w:rsidRPr="00FC31C4">
        <w:rPr>
          <w:rFonts w:ascii="Times New Roman" w:hAnsi="Times New Roman" w:cs="Times New Roman"/>
          <w:sz w:val="24"/>
          <w:szCs w:val="24"/>
        </w:rPr>
        <w:t>maktadır.</w:t>
      </w:r>
    </w:p>
    <w:p w14:paraId="664F8261"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Acil ve yenidoğan yoğun bakım nöbet odaları kapasite açısından yetersizdir; tüm intörnlerin yatabilmesi mümkün değildir.</w:t>
      </w:r>
    </w:p>
    <w:p w14:paraId="46F906F2" w14:textId="5DE90048"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lastRenderedPageBreak/>
        <w:t>Yenidoğan katındaki intörn odası, intörn dışı çalışanlar tarafından tekrar tekrar kullanılmakta; uyarılara rağmen bu durum de</w:t>
      </w:r>
      <w:r w:rsidRPr="00FC31C4">
        <w:rPr>
          <w:rFonts w:ascii="Times New Roman" w:hAnsi="Times New Roman" w:cs="Times New Roman"/>
          <w:sz w:val="24"/>
          <w:szCs w:val="24"/>
        </w:rPr>
        <w:t>vam etmektedir.</w:t>
      </w:r>
    </w:p>
    <w:p w14:paraId="361A3D3E" w14:textId="77777777" w:rsidR="00D809F3" w:rsidRPr="00FC31C4" w:rsidRDefault="00D809F3" w:rsidP="00D809F3">
      <w:pPr>
        <w:pStyle w:val="ListeParagraf"/>
        <w:numPr>
          <w:ilvl w:val="0"/>
          <w:numId w:val="2"/>
        </w:numPr>
        <w:spacing w:before="40" w:after="40"/>
        <w:jc w:val="both"/>
        <w:rPr>
          <w:rFonts w:ascii="Times New Roman" w:hAnsi="Times New Roman" w:cs="Times New Roman"/>
          <w:sz w:val="24"/>
          <w:szCs w:val="24"/>
        </w:rPr>
      </w:pPr>
    </w:p>
    <w:p w14:paraId="5A8C4742" w14:textId="77777777" w:rsidR="00E27CD0" w:rsidRPr="00FC31C4" w:rsidRDefault="00AA4D1B"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3.3. Yönetsel ve Prosedürel Sorunlar</w:t>
      </w:r>
    </w:p>
    <w:p w14:paraId="5296848B" w14:textId="77777777" w:rsidR="00E27CD0" w:rsidRPr="00FC31C4" w:rsidRDefault="00AA4D1B" w:rsidP="00D809F3">
      <w:pPr>
        <w:spacing w:before="60" w:after="60"/>
        <w:jc w:val="both"/>
        <w:rPr>
          <w:rFonts w:ascii="Times New Roman" w:hAnsi="Times New Roman" w:cs="Times New Roman"/>
          <w:sz w:val="24"/>
          <w:szCs w:val="24"/>
        </w:rPr>
      </w:pPr>
      <w:r w:rsidRPr="00FC31C4">
        <w:rPr>
          <w:rFonts w:ascii="Times New Roman" w:hAnsi="Times New Roman" w:cs="Times New Roman"/>
          <w:sz w:val="24"/>
          <w:szCs w:val="24"/>
        </w:rPr>
        <w:t>Stajlar arasındaki görev tanımı farklılıkları ve belirsiz devam kuralları, intörnler üzerinde ciddi stres yaratmakta ve hakların kullanımını güçleştirmektedir.</w:t>
      </w:r>
    </w:p>
    <w:p w14:paraId="7367B2F7"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Nöbet ertesi vizit bekleme süresi; başta D</w:t>
      </w:r>
      <w:r w:rsidRPr="00FC31C4">
        <w:rPr>
          <w:rFonts w:ascii="Times New Roman" w:hAnsi="Times New Roman" w:cs="Times New Roman"/>
          <w:sz w:val="24"/>
          <w:szCs w:val="24"/>
        </w:rPr>
        <w:t>ahiliye olmak üzere çeşitli stajlarda uzun ve belirsizdir.</w:t>
      </w:r>
    </w:p>
    <w:p w14:paraId="6C49B234"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Devam yükümlülüğü ile raporlu izin kapsamı stajdan staja farklılaşmakta; intörnler kendilerini savunmakta güçlük çekmektedir.</w:t>
      </w:r>
    </w:p>
    <w:p w14:paraId="6246541F"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Toplu cezalandırma uygulaması, bireysel sorumluluk ilkesiyle çelişmekte</w:t>
      </w:r>
      <w:r w:rsidRPr="00FC31C4">
        <w:rPr>
          <w:rFonts w:ascii="Times New Roman" w:hAnsi="Times New Roman" w:cs="Times New Roman"/>
          <w:sz w:val="24"/>
          <w:szCs w:val="24"/>
        </w:rPr>
        <w:t xml:space="preserve"> ve başarılı intörnlerin motivasyonunu düşürmektedir.</w:t>
      </w:r>
    </w:p>
    <w:p w14:paraId="3F16245F" w14:textId="05D19949" w:rsidR="00E27CD0" w:rsidRPr="00FC31C4" w:rsidRDefault="00D809F3"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Bir stajda 'intörn koltukta oturamaz/yatamaz' şeklinde yazılı kural bulunduğu bildirilmiştir.</w:t>
      </w:r>
    </w:p>
    <w:p w14:paraId="4F7E14B2" w14:textId="14AF0D6A" w:rsidR="00E27CD0" w:rsidRPr="00FC31C4" w:rsidRDefault="00D809F3"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Bazı stajlarda sunum günü önceden duyurulmamakta; bu durum nöbet ertesi intörnleri zor durumda bırakmaktadır.</w:t>
      </w:r>
    </w:p>
    <w:p w14:paraId="2F99EA42" w14:textId="63ADDDD3" w:rsidR="00E27CD0" w:rsidRPr="00FC31C4" w:rsidRDefault="00E27CD0" w:rsidP="00D809F3">
      <w:pPr>
        <w:pStyle w:val="Balk1"/>
        <w:pBdr>
          <w:bottom w:val="single" w:sz="6" w:space="1" w:color="1F4E79"/>
        </w:pBdr>
        <w:jc w:val="both"/>
        <w:rPr>
          <w:rFonts w:ascii="Times New Roman" w:hAnsi="Times New Roman" w:cs="Times New Roman"/>
          <w:sz w:val="24"/>
          <w:szCs w:val="24"/>
        </w:rPr>
      </w:pPr>
    </w:p>
    <w:p w14:paraId="3EBCB63A" w14:textId="18639DB2" w:rsidR="00E27CD0" w:rsidRPr="00FC31C4" w:rsidRDefault="00D809F3" w:rsidP="00D809F3">
      <w:pPr>
        <w:pStyle w:val="Balk1"/>
        <w:pBdr>
          <w:bottom w:val="single" w:sz="6" w:space="1" w:color="1F4E79"/>
        </w:pBdr>
        <w:jc w:val="both"/>
        <w:rPr>
          <w:rFonts w:ascii="Times New Roman" w:hAnsi="Times New Roman" w:cs="Times New Roman"/>
          <w:sz w:val="24"/>
          <w:szCs w:val="24"/>
        </w:rPr>
      </w:pPr>
      <w:r w:rsidRPr="00FC31C4">
        <w:rPr>
          <w:rFonts w:ascii="Times New Roman" w:hAnsi="Times New Roman" w:cs="Times New Roman"/>
          <w:sz w:val="24"/>
          <w:szCs w:val="24"/>
        </w:rPr>
        <w:t>4. Fırsatlar — Gelişim Potansiyeli</w:t>
      </w:r>
    </w:p>
    <w:p w14:paraId="68A79726" w14:textId="271DE077" w:rsidR="00E27CD0" w:rsidRPr="00FC31C4" w:rsidRDefault="00D809F3"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4.1. Yapısal İyileştirmeler</w:t>
      </w:r>
    </w:p>
    <w:p w14:paraId="005E82F9"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Her staj başında en az bir günlük oryantasyon uygulaması; intörnün göreve başlamadan görev tanımını bilmesini sağlayacaktır.</w:t>
      </w:r>
    </w:p>
    <w:p w14:paraId="44D328BA"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Günlük iş listesi tüm stajlara yaygınlaştırıldığında</w:t>
      </w:r>
      <w:r w:rsidRPr="00FC31C4">
        <w:rPr>
          <w:rFonts w:ascii="Times New Roman" w:hAnsi="Times New Roman" w:cs="Times New Roman"/>
          <w:sz w:val="24"/>
          <w:szCs w:val="24"/>
        </w:rPr>
        <w:t xml:space="preserve"> Kadın Doğum modelinin başarısı tekrarlanabilir.</w:t>
      </w:r>
    </w:p>
    <w:p w14:paraId="73CE5018"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İntörn karnesi güncellenerek hangi işlemlerin hangi stajlarda yapılması gerektiği netleştirilmelidir.</w:t>
      </w:r>
    </w:p>
    <w:p w14:paraId="4CE39FDB" w14:textId="77777777" w:rsidR="00E27CD0" w:rsidRPr="00FC31C4" w:rsidRDefault="00E27CD0" w:rsidP="00D809F3">
      <w:pPr>
        <w:spacing w:before="60" w:after="60"/>
        <w:jc w:val="both"/>
        <w:rPr>
          <w:rFonts w:ascii="Times New Roman" w:hAnsi="Times New Roman" w:cs="Times New Roman"/>
          <w:sz w:val="24"/>
          <w:szCs w:val="24"/>
        </w:rPr>
      </w:pPr>
    </w:p>
    <w:p w14:paraId="53786734" w14:textId="641E8416" w:rsidR="00E27CD0" w:rsidRPr="00FC31C4" w:rsidRDefault="00D809F3"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4.2. Eğitim Zenginleştirmesi</w:t>
      </w:r>
    </w:p>
    <w:p w14:paraId="4D1C1D24"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 xml:space="preserve">Göz hastalıkları, nükleer tıp, radyoloji gibi seçmeli stajların intörnlere </w:t>
      </w:r>
      <w:r w:rsidRPr="00FC31C4">
        <w:rPr>
          <w:rFonts w:ascii="Times New Roman" w:hAnsi="Times New Roman" w:cs="Times New Roman"/>
          <w:sz w:val="24"/>
          <w:szCs w:val="24"/>
        </w:rPr>
        <w:t>açılması bireysel kariyer gelişimine katkı sağlayacaktır.</w:t>
      </w:r>
    </w:p>
    <w:p w14:paraId="4A96D375" w14:textId="08C3E710" w:rsidR="00E27CD0" w:rsidRPr="00FC31C4" w:rsidRDefault="00D809F3"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Bilgi aktarımı desteği artırılabilir; soru bankası erişimi, düzenli klinik vaka tartışmaları bu kapsamda değerlendirilebilir.</w:t>
      </w:r>
    </w:p>
    <w:p w14:paraId="173B0021"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 xml:space="preserve">Kariyer günleri gibi gönüllülük esaslı etkinliklere katılan intörnlere </w:t>
      </w:r>
      <w:r w:rsidRPr="00FC31C4">
        <w:rPr>
          <w:rFonts w:ascii="Times New Roman" w:hAnsi="Times New Roman" w:cs="Times New Roman"/>
          <w:sz w:val="24"/>
          <w:szCs w:val="24"/>
        </w:rPr>
        <w:t>resmi belge verilmesi, katılım çatışmalarını önleyecektir.</w:t>
      </w:r>
    </w:p>
    <w:p w14:paraId="4D80B68C" w14:textId="77777777" w:rsidR="00E27CD0" w:rsidRPr="00FC31C4" w:rsidRDefault="00E27CD0" w:rsidP="00D809F3">
      <w:pPr>
        <w:spacing w:before="60" w:after="60"/>
        <w:jc w:val="both"/>
        <w:rPr>
          <w:rFonts w:ascii="Times New Roman" w:hAnsi="Times New Roman" w:cs="Times New Roman"/>
          <w:sz w:val="24"/>
          <w:szCs w:val="24"/>
        </w:rPr>
      </w:pPr>
    </w:p>
    <w:p w14:paraId="5DE7FA6A" w14:textId="7675E097" w:rsidR="00E27CD0" w:rsidRPr="00FC31C4" w:rsidRDefault="00D809F3"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4.3. Fiziksel Altyapı</w:t>
      </w:r>
    </w:p>
    <w:p w14:paraId="277EA161"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Boş odaların intörn nöbet odası olarak tahsis edilmesi düşük maliyetli ve yüksek etkili bir çözümdür.</w:t>
      </w:r>
    </w:p>
    <w:p w14:paraId="4001DD28"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Yeni bölüm tasarımları ve yenileme süreçlerinde intörn ihtiyaçları planl</w:t>
      </w:r>
      <w:r w:rsidRPr="00FC31C4">
        <w:rPr>
          <w:rFonts w:ascii="Times New Roman" w:hAnsi="Times New Roman" w:cs="Times New Roman"/>
          <w:sz w:val="24"/>
          <w:szCs w:val="24"/>
        </w:rPr>
        <w:t>ama aşamasında gözetilmelidir.</w:t>
      </w:r>
    </w:p>
    <w:p w14:paraId="228E15FC" w14:textId="77777777" w:rsidR="00E27CD0" w:rsidRPr="00FC31C4" w:rsidRDefault="00E27CD0" w:rsidP="00D809F3">
      <w:pPr>
        <w:spacing w:before="60" w:after="60"/>
        <w:jc w:val="both"/>
        <w:rPr>
          <w:rFonts w:ascii="Times New Roman" w:hAnsi="Times New Roman" w:cs="Times New Roman"/>
          <w:sz w:val="24"/>
          <w:szCs w:val="24"/>
        </w:rPr>
      </w:pPr>
    </w:p>
    <w:p w14:paraId="3FEE1ED7" w14:textId="66DF8736" w:rsidR="00E27CD0" w:rsidRPr="00FC31C4" w:rsidRDefault="00D809F3" w:rsidP="00D809F3">
      <w:pPr>
        <w:pStyle w:val="Balk1"/>
        <w:pBdr>
          <w:bottom w:val="single" w:sz="6" w:space="1" w:color="1F4E79"/>
        </w:pBdr>
        <w:jc w:val="both"/>
        <w:rPr>
          <w:rFonts w:ascii="Times New Roman" w:hAnsi="Times New Roman" w:cs="Times New Roman"/>
          <w:sz w:val="24"/>
          <w:szCs w:val="24"/>
        </w:rPr>
      </w:pPr>
      <w:r w:rsidRPr="00FC31C4">
        <w:rPr>
          <w:rFonts w:ascii="Times New Roman" w:hAnsi="Times New Roman" w:cs="Times New Roman"/>
          <w:sz w:val="24"/>
          <w:szCs w:val="24"/>
        </w:rPr>
        <w:lastRenderedPageBreak/>
        <w:t>5. Tehditler — Risk Değerlendirmesi</w:t>
      </w:r>
    </w:p>
    <w:p w14:paraId="2D220416" w14:textId="13BCF9E5" w:rsidR="00E27CD0" w:rsidRPr="00FC31C4" w:rsidRDefault="00D809F3"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5.1. Eğitim ve Motivasyon Riskleri</w:t>
      </w:r>
    </w:p>
    <w:p w14:paraId="0D037BA3" w14:textId="77777777" w:rsidR="00E27CD0" w:rsidRPr="00FC31C4" w:rsidRDefault="00AA4D1B" w:rsidP="00D809F3">
      <w:pPr>
        <w:spacing w:before="60" w:after="60"/>
        <w:jc w:val="both"/>
        <w:rPr>
          <w:rFonts w:ascii="Times New Roman" w:hAnsi="Times New Roman" w:cs="Times New Roman"/>
          <w:sz w:val="24"/>
          <w:szCs w:val="24"/>
        </w:rPr>
      </w:pPr>
      <w:r w:rsidRPr="00FC31C4">
        <w:rPr>
          <w:rFonts w:ascii="Times New Roman" w:hAnsi="Times New Roman" w:cs="Times New Roman"/>
          <w:sz w:val="24"/>
          <w:szCs w:val="24"/>
        </w:rPr>
        <w:t>Sistematik angarya iş yükü, intörnlük döneminin eğitim amacına doğrudan zarar vermekte ve uzun vadede mesleki kimlik erozyonuna yol açma riski taşımaktad</w:t>
      </w:r>
      <w:r w:rsidRPr="00FC31C4">
        <w:rPr>
          <w:rFonts w:ascii="Times New Roman" w:hAnsi="Times New Roman" w:cs="Times New Roman"/>
          <w:sz w:val="24"/>
          <w:szCs w:val="24"/>
        </w:rPr>
        <w:t>ır.</w:t>
      </w:r>
    </w:p>
    <w:p w14:paraId="59AAE62B"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Tekrarlayan angarya deneyimi intörnün hekimlik rolünü sorgulamasına neden olmaktadır.</w:t>
      </w:r>
    </w:p>
    <w:p w14:paraId="0C4CE42E"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'Kalıcı personel — geçici intörn' algısı kurumsal kültürün bir parçası haline geldiğinde değiştirmek güçleşmektedir.</w:t>
      </w:r>
    </w:p>
    <w:p w14:paraId="7CDA630B" w14:textId="77777777" w:rsidR="00E27CD0" w:rsidRPr="00FC31C4" w:rsidRDefault="00E27CD0" w:rsidP="00D809F3">
      <w:pPr>
        <w:spacing w:before="60" w:after="60"/>
        <w:jc w:val="both"/>
        <w:rPr>
          <w:rFonts w:ascii="Times New Roman" w:hAnsi="Times New Roman" w:cs="Times New Roman"/>
          <w:sz w:val="24"/>
          <w:szCs w:val="24"/>
        </w:rPr>
      </w:pPr>
    </w:p>
    <w:p w14:paraId="61168EE3" w14:textId="3EC85526" w:rsidR="00E27CD0" w:rsidRPr="00FC31C4" w:rsidRDefault="00D809F3"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5.2. Güvenlik ve Hukuki Riskler</w:t>
      </w:r>
    </w:p>
    <w:p w14:paraId="397477E7" w14:textId="77777777" w:rsidR="00E27CD0" w:rsidRPr="00FC31C4" w:rsidRDefault="00AA4D1B" w:rsidP="00D809F3">
      <w:pPr>
        <w:spacing w:before="60" w:after="60"/>
        <w:jc w:val="both"/>
        <w:rPr>
          <w:rFonts w:ascii="Times New Roman" w:hAnsi="Times New Roman" w:cs="Times New Roman"/>
          <w:sz w:val="24"/>
          <w:szCs w:val="24"/>
        </w:rPr>
      </w:pPr>
      <w:r w:rsidRPr="00FC31C4">
        <w:rPr>
          <w:rFonts w:ascii="Times New Roman" w:hAnsi="Times New Roman" w:cs="Times New Roman"/>
          <w:sz w:val="24"/>
          <w:szCs w:val="24"/>
        </w:rPr>
        <w:t>Bazı uygulamalar</w:t>
      </w:r>
      <w:r w:rsidRPr="00FC31C4">
        <w:rPr>
          <w:rFonts w:ascii="Times New Roman" w:hAnsi="Times New Roman" w:cs="Times New Roman"/>
          <w:sz w:val="24"/>
          <w:szCs w:val="24"/>
        </w:rPr>
        <w:t xml:space="preserve"> eğitim sınırını aşarak etik ve hukuki sorunlara zemin hazırlamaktadır.</w:t>
      </w:r>
    </w:p>
    <w:p w14:paraId="44289FCD"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Hastalara görüntülemeye yalnızca intörn eşliğinde gönderilmesi, güvenlik riski ve sorumluluk belirsizliği yaratmaktadır.</w:t>
      </w:r>
    </w:p>
    <w:p w14:paraId="65874EDE"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Özel telefon numarasının hasta aratmak için kullanılması, kişis</w:t>
      </w:r>
      <w:r w:rsidRPr="00FC31C4">
        <w:rPr>
          <w:rFonts w:ascii="Times New Roman" w:hAnsi="Times New Roman" w:cs="Times New Roman"/>
          <w:sz w:val="24"/>
          <w:szCs w:val="24"/>
        </w:rPr>
        <w:t>el verinin rızasız kullanımı anlamına gelir ve sınır ihlali oluşturmaktadır.</w:t>
      </w:r>
    </w:p>
    <w:p w14:paraId="12E97ADC" w14:textId="0877C874" w:rsidR="00E27CD0" w:rsidRPr="00FC31C4" w:rsidRDefault="00D809F3"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Nadiren olan nöbet ertesi iznin fiilen kullandırılmaması, hem çalışma mevzuatı hem de hasta güvenliği açısından risk oluşturmaktadır.</w:t>
      </w:r>
    </w:p>
    <w:p w14:paraId="221B0617"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Belirsiz devam kuralları, intörn haklarının k</w:t>
      </w:r>
      <w:r w:rsidRPr="00FC31C4">
        <w:rPr>
          <w:rFonts w:ascii="Times New Roman" w:hAnsi="Times New Roman" w:cs="Times New Roman"/>
          <w:sz w:val="24"/>
          <w:szCs w:val="24"/>
        </w:rPr>
        <w:t>orunamamasına yol açmakta; intörnler kendilerini savunmakta hukuken yetersiz kalmaktadır.</w:t>
      </w:r>
    </w:p>
    <w:p w14:paraId="01C574BB" w14:textId="77777777" w:rsidR="00E27CD0" w:rsidRPr="00FC31C4" w:rsidRDefault="00E27CD0" w:rsidP="00D809F3">
      <w:pPr>
        <w:spacing w:before="60" w:after="60"/>
        <w:jc w:val="both"/>
        <w:rPr>
          <w:rFonts w:ascii="Times New Roman" w:hAnsi="Times New Roman" w:cs="Times New Roman"/>
          <w:sz w:val="24"/>
          <w:szCs w:val="24"/>
        </w:rPr>
      </w:pPr>
    </w:p>
    <w:p w14:paraId="0F1BCB48" w14:textId="4E0E6D6F" w:rsidR="00E27CD0" w:rsidRPr="00FC31C4" w:rsidRDefault="00D809F3" w:rsidP="00D809F3">
      <w:pPr>
        <w:pStyle w:val="Balk1"/>
        <w:pBdr>
          <w:bottom w:val="single" w:sz="6" w:space="1" w:color="1F4E79"/>
        </w:pBdr>
        <w:jc w:val="both"/>
        <w:rPr>
          <w:rFonts w:ascii="Times New Roman" w:hAnsi="Times New Roman" w:cs="Times New Roman"/>
          <w:sz w:val="24"/>
          <w:szCs w:val="24"/>
        </w:rPr>
      </w:pPr>
      <w:r w:rsidRPr="00FC31C4">
        <w:rPr>
          <w:rFonts w:ascii="Times New Roman" w:hAnsi="Times New Roman" w:cs="Times New Roman"/>
          <w:sz w:val="24"/>
          <w:szCs w:val="24"/>
        </w:rPr>
        <w:t>6. Öncelikli Eylem Önerileri</w:t>
      </w:r>
    </w:p>
    <w:p w14:paraId="3852361E" w14:textId="16F829B3" w:rsidR="00E27CD0" w:rsidRPr="00FC31C4" w:rsidRDefault="00D809F3"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6.1. Kısa Vadede Yapılabilecekler (0–3 Ay)</w:t>
      </w:r>
    </w:p>
    <w:p w14:paraId="44F2E6C7" w14:textId="77777777" w:rsidR="00E27CD0" w:rsidRPr="00FC31C4" w:rsidRDefault="00AA4D1B" w:rsidP="00D809F3">
      <w:pPr>
        <w:pStyle w:val="ListeParagraf"/>
        <w:numPr>
          <w:ilvl w:val="0"/>
          <w:numId w:val="3"/>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Tüm stajlar için yazılı görev tanımı belgesi hazırlanması ve intörnlere staj başında teslimi.</w:t>
      </w:r>
    </w:p>
    <w:p w14:paraId="358C3DE1" w14:textId="77777777" w:rsidR="00E27CD0" w:rsidRPr="00FC31C4" w:rsidRDefault="00AA4D1B" w:rsidP="00D809F3">
      <w:pPr>
        <w:pStyle w:val="ListeParagraf"/>
        <w:numPr>
          <w:ilvl w:val="0"/>
          <w:numId w:val="3"/>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Nöbet ertesi vizit saatinin en geç sabah 10:00 olarak sabitlenmesi; gerekirse yazılı düzenleme yapılması.</w:t>
      </w:r>
    </w:p>
    <w:p w14:paraId="602EB58E" w14:textId="77777777" w:rsidR="00E27CD0" w:rsidRPr="00FC31C4" w:rsidRDefault="00AA4D1B" w:rsidP="00D809F3">
      <w:pPr>
        <w:pStyle w:val="ListeParagraf"/>
        <w:numPr>
          <w:ilvl w:val="0"/>
          <w:numId w:val="3"/>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Personel/hemşire görevlerinin intörne devredilmesini önleyecek anabilim dalı genelgesinin yayımlanması.</w:t>
      </w:r>
    </w:p>
    <w:p w14:paraId="7AF7FA19" w14:textId="313E1E46" w:rsidR="00E27CD0" w:rsidRPr="00FC31C4" w:rsidRDefault="00D809F3" w:rsidP="00D809F3">
      <w:pPr>
        <w:pStyle w:val="ListeParagraf"/>
        <w:numPr>
          <w:ilvl w:val="0"/>
          <w:numId w:val="3"/>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Stajlarda sunum tarihinin en az bir hafta önceden duyurulması.</w:t>
      </w:r>
    </w:p>
    <w:p w14:paraId="16429868" w14:textId="3F0AD1E8" w:rsidR="00E27CD0" w:rsidRPr="00FC31C4" w:rsidRDefault="00D809F3" w:rsidP="00D809F3">
      <w:pPr>
        <w:pStyle w:val="ListeParagraf"/>
        <w:numPr>
          <w:ilvl w:val="0"/>
          <w:numId w:val="3"/>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Sadece bazı stajlarda gerçekleşen intörn odalarının intörn dışı kullanımını önleyecek müdahale yapılması.</w:t>
      </w:r>
    </w:p>
    <w:p w14:paraId="13DD830F" w14:textId="77777777" w:rsidR="00E27CD0" w:rsidRPr="00FC31C4" w:rsidRDefault="00E27CD0" w:rsidP="00D809F3">
      <w:pPr>
        <w:spacing w:before="60" w:after="60"/>
        <w:jc w:val="both"/>
        <w:rPr>
          <w:rFonts w:ascii="Times New Roman" w:hAnsi="Times New Roman" w:cs="Times New Roman"/>
          <w:sz w:val="24"/>
          <w:szCs w:val="24"/>
        </w:rPr>
      </w:pPr>
    </w:p>
    <w:p w14:paraId="33F98F8C" w14:textId="30E0F2F8" w:rsidR="00E27CD0" w:rsidRPr="00FC31C4" w:rsidRDefault="00D809F3"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6.2. Orta Vadede Yapılabilecekler (3–12 Ay)</w:t>
      </w:r>
    </w:p>
    <w:p w14:paraId="0804B113"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Staj başı oryantasyon programının tüm kliniklerde zorunlu hale getirilmesi.</w:t>
      </w:r>
    </w:p>
    <w:p w14:paraId="3709D6C2"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İntörn karn</w:t>
      </w:r>
      <w:r w:rsidRPr="00FC31C4">
        <w:rPr>
          <w:rFonts w:ascii="Times New Roman" w:hAnsi="Times New Roman" w:cs="Times New Roman"/>
          <w:sz w:val="24"/>
          <w:szCs w:val="24"/>
        </w:rPr>
        <w:t>esi güncellenerek işlem bazlı yetkinlik değerlendirme sistemine geçilmesi.</w:t>
      </w:r>
    </w:p>
    <w:p w14:paraId="0F809471"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Nöbet odası kapasitesinin artırılması; boş odaların tahsisi için hastane yönetimi ile koordinasyon.</w:t>
      </w:r>
    </w:p>
    <w:p w14:paraId="52CB5CDC"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Seçmeli staj havuzunun genişletilmesi; göz, nükleer tıp, radyoloji birimlerinin k</w:t>
      </w:r>
      <w:r w:rsidRPr="00FC31C4">
        <w:rPr>
          <w:rFonts w:ascii="Times New Roman" w:hAnsi="Times New Roman" w:cs="Times New Roman"/>
          <w:sz w:val="24"/>
          <w:szCs w:val="24"/>
        </w:rPr>
        <w:t>apsama alınması.</w:t>
      </w:r>
    </w:p>
    <w:p w14:paraId="5EB64B65"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Toplu cezalandırma yerine bireysel değerlendirme mekanizmasının hayata geçirilmesi.</w:t>
      </w:r>
    </w:p>
    <w:p w14:paraId="12775BFA" w14:textId="77777777" w:rsidR="00E27CD0" w:rsidRPr="00FC31C4" w:rsidRDefault="00E27CD0" w:rsidP="00D809F3">
      <w:pPr>
        <w:spacing w:before="60" w:after="60"/>
        <w:jc w:val="both"/>
        <w:rPr>
          <w:rFonts w:ascii="Times New Roman" w:hAnsi="Times New Roman" w:cs="Times New Roman"/>
          <w:sz w:val="24"/>
          <w:szCs w:val="24"/>
        </w:rPr>
      </w:pPr>
    </w:p>
    <w:p w14:paraId="08104A15" w14:textId="6A019C66" w:rsidR="00E27CD0" w:rsidRPr="00FC31C4" w:rsidRDefault="00D809F3" w:rsidP="00D809F3">
      <w:pPr>
        <w:pStyle w:val="Balk2"/>
        <w:jc w:val="both"/>
        <w:rPr>
          <w:rFonts w:ascii="Times New Roman" w:hAnsi="Times New Roman" w:cs="Times New Roman"/>
          <w:sz w:val="24"/>
          <w:szCs w:val="24"/>
        </w:rPr>
      </w:pPr>
      <w:r w:rsidRPr="00FC31C4">
        <w:rPr>
          <w:rFonts w:ascii="Times New Roman" w:hAnsi="Times New Roman" w:cs="Times New Roman"/>
          <w:sz w:val="24"/>
          <w:szCs w:val="24"/>
        </w:rPr>
        <w:t>6.3. Uzun Vadede Yapılabilecekler (1 Yıl+)</w:t>
      </w:r>
    </w:p>
    <w:p w14:paraId="73F6CD4F"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lastRenderedPageBreak/>
        <w:t>İntörnlük yönergesinin nöbet ertesi izin hakkını açıkça düzenleyecek biçimde güncellenmesi.</w:t>
      </w:r>
    </w:p>
    <w:p w14:paraId="5E2F4D0E"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 xml:space="preserve">İntörn görüşlerini </w:t>
      </w:r>
      <w:r w:rsidRPr="00FC31C4">
        <w:rPr>
          <w:rFonts w:ascii="Times New Roman" w:hAnsi="Times New Roman" w:cs="Times New Roman"/>
          <w:sz w:val="24"/>
          <w:szCs w:val="24"/>
        </w:rPr>
        <w:t>sürekli olarak derleyecek kurumsal geri bildirim mekanizmasının oluşturulması.</w:t>
      </w:r>
    </w:p>
    <w:p w14:paraId="57ABE794"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TUS hazırlık desteğini kapsayan yapılandırılmış eğitim programının oluşturulması.</w:t>
      </w:r>
    </w:p>
    <w:p w14:paraId="78DFFC44" w14:textId="77777777" w:rsidR="00E27CD0" w:rsidRPr="00FC31C4" w:rsidRDefault="00AA4D1B" w:rsidP="00D809F3">
      <w:pPr>
        <w:pStyle w:val="ListeParagraf"/>
        <w:numPr>
          <w:ilvl w:val="0"/>
          <w:numId w:val="2"/>
        </w:numPr>
        <w:spacing w:before="40" w:after="40"/>
        <w:jc w:val="both"/>
        <w:rPr>
          <w:rFonts w:ascii="Times New Roman" w:hAnsi="Times New Roman" w:cs="Times New Roman"/>
          <w:sz w:val="24"/>
          <w:szCs w:val="24"/>
        </w:rPr>
      </w:pPr>
      <w:r w:rsidRPr="00FC31C4">
        <w:rPr>
          <w:rFonts w:ascii="Times New Roman" w:hAnsi="Times New Roman" w:cs="Times New Roman"/>
          <w:sz w:val="24"/>
          <w:szCs w:val="24"/>
        </w:rPr>
        <w:t>Yeni yapı ve tadilat projelerinde intörn mekan ihtiyacının mimari programa dahil edilmesi.</w:t>
      </w:r>
    </w:p>
    <w:p w14:paraId="43DDC54C" w14:textId="77777777" w:rsidR="00E27CD0" w:rsidRPr="00FC31C4" w:rsidRDefault="00E27CD0" w:rsidP="00D809F3">
      <w:pPr>
        <w:spacing w:before="60" w:after="60"/>
        <w:jc w:val="both"/>
        <w:rPr>
          <w:rFonts w:ascii="Times New Roman" w:hAnsi="Times New Roman" w:cs="Times New Roman"/>
          <w:sz w:val="24"/>
          <w:szCs w:val="24"/>
        </w:rPr>
      </w:pPr>
    </w:p>
    <w:p w14:paraId="2DE6D38C" w14:textId="752467D9" w:rsidR="00E27CD0" w:rsidRPr="00FC31C4" w:rsidRDefault="00D809F3" w:rsidP="00D809F3">
      <w:pPr>
        <w:pStyle w:val="Balk1"/>
        <w:pBdr>
          <w:bottom w:val="single" w:sz="6" w:space="1" w:color="1F4E79"/>
        </w:pBdr>
        <w:jc w:val="both"/>
        <w:rPr>
          <w:rFonts w:ascii="Times New Roman" w:hAnsi="Times New Roman" w:cs="Times New Roman"/>
          <w:sz w:val="24"/>
          <w:szCs w:val="24"/>
        </w:rPr>
      </w:pPr>
      <w:r w:rsidRPr="00FC31C4">
        <w:rPr>
          <w:rFonts w:ascii="Times New Roman" w:hAnsi="Times New Roman" w:cs="Times New Roman"/>
          <w:sz w:val="24"/>
          <w:szCs w:val="24"/>
        </w:rPr>
        <w:t>7. Sonuç</w:t>
      </w:r>
    </w:p>
    <w:p w14:paraId="0B4E5AA9" w14:textId="77777777" w:rsidR="00E27CD0" w:rsidRPr="00FC31C4" w:rsidRDefault="00AA4D1B" w:rsidP="00D809F3">
      <w:pPr>
        <w:spacing w:before="60" w:after="60"/>
        <w:jc w:val="both"/>
        <w:rPr>
          <w:rFonts w:ascii="Times New Roman" w:hAnsi="Times New Roman" w:cs="Times New Roman"/>
          <w:sz w:val="24"/>
          <w:szCs w:val="24"/>
        </w:rPr>
      </w:pPr>
      <w:r w:rsidRPr="00FC31C4">
        <w:rPr>
          <w:rFonts w:ascii="Times New Roman" w:hAnsi="Times New Roman" w:cs="Times New Roman"/>
          <w:sz w:val="24"/>
          <w:szCs w:val="24"/>
        </w:rPr>
        <w:t>İntörnlük dönemi, mezuniyet öncesi hekimlik eğitiminin en kritik aşamasıdır. Bu çalıştay, güçlü bir temel iletişim kültürünün varlığını ortaya koyarken aynı zamanda angarya iş yükü, yetersiz fiziksel koşullar ve yönetsel belirsizlikler gibi yapısal s</w:t>
      </w:r>
      <w:r w:rsidRPr="00FC31C4">
        <w:rPr>
          <w:rFonts w:ascii="Times New Roman" w:hAnsi="Times New Roman" w:cs="Times New Roman"/>
          <w:sz w:val="24"/>
          <w:szCs w:val="24"/>
        </w:rPr>
        <w:t>orunların da sistematik biçimde ele alınması gerektiğini göstermiştir.</w:t>
      </w:r>
    </w:p>
    <w:p w14:paraId="57F8ACBB" w14:textId="77777777" w:rsidR="00E27CD0" w:rsidRPr="00FC31C4" w:rsidRDefault="00E27CD0" w:rsidP="00D809F3">
      <w:pPr>
        <w:spacing w:before="60" w:after="60"/>
        <w:jc w:val="both"/>
        <w:rPr>
          <w:rFonts w:ascii="Times New Roman" w:hAnsi="Times New Roman" w:cs="Times New Roman"/>
          <w:sz w:val="24"/>
          <w:szCs w:val="24"/>
        </w:rPr>
      </w:pPr>
    </w:p>
    <w:p w14:paraId="7A0769A2" w14:textId="77777777" w:rsidR="00E27CD0" w:rsidRPr="00FC31C4" w:rsidRDefault="00AA4D1B" w:rsidP="00D809F3">
      <w:pPr>
        <w:spacing w:before="60" w:after="60"/>
        <w:jc w:val="both"/>
        <w:rPr>
          <w:rFonts w:ascii="Times New Roman" w:hAnsi="Times New Roman" w:cs="Times New Roman"/>
          <w:sz w:val="24"/>
          <w:szCs w:val="24"/>
        </w:rPr>
      </w:pPr>
      <w:r w:rsidRPr="00FC31C4">
        <w:rPr>
          <w:rFonts w:ascii="Times New Roman" w:hAnsi="Times New Roman" w:cs="Times New Roman"/>
          <w:sz w:val="24"/>
          <w:szCs w:val="24"/>
        </w:rPr>
        <w:t>En acil müdahale alanı, görev tanımlarının netleştirilmesidir. Tek bir adımla hem zayıf yönlerin hem de tehditlerin önemli bir kısmı hafifletilebilir. Orta vadede fiziksel koşulların i</w:t>
      </w:r>
      <w:r w:rsidRPr="00FC31C4">
        <w:rPr>
          <w:rFonts w:ascii="Times New Roman" w:hAnsi="Times New Roman" w:cs="Times New Roman"/>
          <w:sz w:val="24"/>
          <w:szCs w:val="24"/>
        </w:rPr>
        <w:t>yileştirilmesi ve yönetsel prosedürlerin güncellenmesi sürdürülebilir bir intörn eğitim ortamının temelini atacaktır.</w:t>
      </w:r>
    </w:p>
    <w:p w14:paraId="096C54AE" w14:textId="77777777" w:rsidR="00E27CD0" w:rsidRPr="00FC31C4" w:rsidRDefault="00E27CD0" w:rsidP="00D809F3">
      <w:pPr>
        <w:spacing w:before="60" w:after="60"/>
        <w:jc w:val="both"/>
        <w:rPr>
          <w:rFonts w:ascii="Times New Roman" w:hAnsi="Times New Roman" w:cs="Times New Roman"/>
          <w:sz w:val="24"/>
          <w:szCs w:val="24"/>
        </w:rPr>
      </w:pPr>
    </w:p>
    <w:p w14:paraId="1BF94F2F" w14:textId="77777777" w:rsidR="00E27CD0" w:rsidRPr="00FC31C4" w:rsidRDefault="00AA4D1B" w:rsidP="00D809F3">
      <w:pPr>
        <w:spacing w:before="60" w:after="60"/>
        <w:jc w:val="both"/>
        <w:rPr>
          <w:rFonts w:ascii="Times New Roman" w:hAnsi="Times New Roman" w:cs="Times New Roman"/>
          <w:sz w:val="24"/>
          <w:szCs w:val="24"/>
        </w:rPr>
      </w:pPr>
      <w:r w:rsidRPr="00FC31C4">
        <w:rPr>
          <w:rFonts w:ascii="Times New Roman" w:hAnsi="Times New Roman" w:cs="Times New Roman"/>
          <w:sz w:val="24"/>
          <w:szCs w:val="24"/>
        </w:rPr>
        <w:t>Bu raporda yer alan bulgular ve öneriler, ilgili klinik bölüm başkanlıkları, intörn eğitim koordinatörlüğü ve hastane yönetimi tarafından</w:t>
      </w:r>
      <w:r w:rsidRPr="00FC31C4">
        <w:rPr>
          <w:rFonts w:ascii="Times New Roman" w:hAnsi="Times New Roman" w:cs="Times New Roman"/>
          <w:sz w:val="24"/>
          <w:szCs w:val="24"/>
        </w:rPr>
        <w:t xml:space="preserve"> değerlendirilerek somut iyileştirme planına dönüştürülmelidir.</w:t>
      </w:r>
    </w:p>
    <w:sectPr w:rsidR="00E27CD0" w:rsidRPr="00FC31C4">
      <w:footerReference w:type="default" r:id="rId7"/>
      <w:pgSz w:w="11906" w:h="16838"/>
      <w:pgMar w:top="1440" w:right="126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41D9A" w14:textId="77777777" w:rsidR="00AA4D1B" w:rsidRDefault="00AA4D1B">
      <w:r>
        <w:separator/>
      </w:r>
    </w:p>
  </w:endnote>
  <w:endnote w:type="continuationSeparator" w:id="0">
    <w:p w14:paraId="23223CCB" w14:textId="77777777" w:rsidR="00AA4D1B" w:rsidRDefault="00AA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ptos Display">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8A267" w14:textId="72D98B90" w:rsidR="00E27CD0" w:rsidRDefault="00AA4D1B">
    <w:pPr>
      <w:pBdr>
        <w:top w:val="single" w:sz="4" w:space="1" w:color="CCCCCC"/>
      </w:pBdr>
      <w:spacing w:before="200"/>
      <w:jc w:val="right"/>
    </w:pPr>
    <w:r>
      <w:rPr>
        <w:color w:val="888888"/>
        <w:sz w:val="18"/>
        <w:szCs w:val="18"/>
      </w:rPr>
      <w:t xml:space="preserve">Hazırlanma tarihi: Haziran 2026  |  Sayfa </w:t>
    </w:r>
    <w:r>
      <w:rPr>
        <w:color w:val="888888"/>
        <w:sz w:val="18"/>
        <w:szCs w:val="18"/>
      </w:rPr>
      <w:fldChar w:fldCharType="begin"/>
    </w:r>
    <w:r>
      <w:rPr>
        <w:color w:val="888888"/>
        <w:sz w:val="18"/>
        <w:szCs w:val="18"/>
      </w:rPr>
      <w:instrText>PAGE</w:instrText>
    </w:r>
    <w:r>
      <w:rPr>
        <w:color w:val="888888"/>
        <w:sz w:val="18"/>
        <w:szCs w:val="18"/>
      </w:rPr>
      <w:fldChar w:fldCharType="separate"/>
    </w:r>
    <w:r w:rsidR="005B5ED9">
      <w:rPr>
        <w:noProof/>
        <w:color w:val="888888"/>
        <w:sz w:val="18"/>
        <w:szCs w:val="18"/>
      </w:rPr>
      <w:t>7</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465EC" w14:textId="77777777" w:rsidR="00AA4D1B" w:rsidRDefault="00AA4D1B">
      <w:r>
        <w:separator/>
      </w:r>
    </w:p>
  </w:footnote>
  <w:footnote w:type="continuationSeparator" w:id="0">
    <w:p w14:paraId="1C50603F" w14:textId="77777777" w:rsidR="00AA4D1B" w:rsidRDefault="00AA4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47D5D"/>
    <w:multiLevelType w:val="hybridMultilevel"/>
    <w:tmpl w:val="45B45BBA"/>
    <w:lvl w:ilvl="0" w:tplc="44F4CC96">
      <w:start w:val="1"/>
      <w:numFmt w:val="decimal"/>
      <w:lvlText w:val="%1."/>
      <w:lvlJc w:val="left"/>
      <w:pPr>
        <w:ind w:left="720" w:hanging="360"/>
      </w:pPr>
    </w:lvl>
    <w:lvl w:ilvl="1" w:tplc="461C2AD6">
      <w:numFmt w:val="decimal"/>
      <w:lvlText w:val=""/>
      <w:lvlJc w:val="left"/>
    </w:lvl>
    <w:lvl w:ilvl="2" w:tplc="D30E5958">
      <w:numFmt w:val="decimal"/>
      <w:lvlText w:val=""/>
      <w:lvlJc w:val="left"/>
    </w:lvl>
    <w:lvl w:ilvl="3" w:tplc="1786C856">
      <w:numFmt w:val="decimal"/>
      <w:lvlText w:val=""/>
      <w:lvlJc w:val="left"/>
    </w:lvl>
    <w:lvl w:ilvl="4" w:tplc="23B065D6">
      <w:numFmt w:val="decimal"/>
      <w:lvlText w:val=""/>
      <w:lvlJc w:val="left"/>
    </w:lvl>
    <w:lvl w:ilvl="5" w:tplc="3A20409E">
      <w:numFmt w:val="decimal"/>
      <w:lvlText w:val=""/>
      <w:lvlJc w:val="left"/>
    </w:lvl>
    <w:lvl w:ilvl="6" w:tplc="4E8CB318">
      <w:numFmt w:val="decimal"/>
      <w:lvlText w:val=""/>
      <w:lvlJc w:val="left"/>
    </w:lvl>
    <w:lvl w:ilvl="7" w:tplc="49B8A2F2">
      <w:numFmt w:val="decimal"/>
      <w:lvlText w:val=""/>
      <w:lvlJc w:val="left"/>
    </w:lvl>
    <w:lvl w:ilvl="8" w:tplc="C21C468C">
      <w:numFmt w:val="decimal"/>
      <w:lvlText w:val=""/>
      <w:lvlJc w:val="left"/>
    </w:lvl>
  </w:abstractNum>
  <w:abstractNum w:abstractNumId="1" w15:restartNumberingAfterBreak="0">
    <w:nsid w:val="4D8F1DC9"/>
    <w:multiLevelType w:val="hybridMultilevel"/>
    <w:tmpl w:val="CF6AC52E"/>
    <w:lvl w:ilvl="0" w:tplc="204412B4">
      <w:start w:val="1"/>
      <w:numFmt w:val="bullet"/>
      <w:lvlText w:val="●"/>
      <w:lvlJc w:val="left"/>
      <w:pPr>
        <w:ind w:left="720" w:hanging="360"/>
      </w:pPr>
    </w:lvl>
    <w:lvl w:ilvl="1" w:tplc="C5B0624E">
      <w:start w:val="1"/>
      <w:numFmt w:val="bullet"/>
      <w:lvlText w:val="○"/>
      <w:lvlJc w:val="left"/>
      <w:pPr>
        <w:ind w:left="1440" w:hanging="360"/>
      </w:pPr>
    </w:lvl>
    <w:lvl w:ilvl="2" w:tplc="E0662666">
      <w:start w:val="1"/>
      <w:numFmt w:val="bullet"/>
      <w:lvlText w:val="■"/>
      <w:lvlJc w:val="left"/>
      <w:pPr>
        <w:ind w:left="2160" w:hanging="360"/>
      </w:pPr>
    </w:lvl>
    <w:lvl w:ilvl="3" w:tplc="7BEECF9C">
      <w:start w:val="1"/>
      <w:numFmt w:val="bullet"/>
      <w:lvlText w:val="●"/>
      <w:lvlJc w:val="left"/>
      <w:pPr>
        <w:ind w:left="2880" w:hanging="360"/>
      </w:pPr>
    </w:lvl>
    <w:lvl w:ilvl="4" w:tplc="21148402">
      <w:start w:val="1"/>
      <w:numFmt w:val="bullet"/>
      <w:lvlText w:val="○"/>
      <w:lvlJc w:val="left"/>
      <w:pPr>
        <w:ind w:left="3600" w:hanging="360"/>
      </w:pPr>
    </w:lvl>
    <w:lvl w:ilvl="5" w:tplc="C5BC44D8">
      <w:start w:val="1"/>
      <w:numFmt w:val="bullet"/>
      <w:lvlText w:val="■"/>
      <w:lvlJc w:val="left"/>
      <w:pPr>
        <w:ind w:left="4320" w:hanging="360"/>
      </w:pPr>
    </w:lvl>
    <w:lvl w:ilvl="6" w:tplc="A6C45F66">
      <w:start w:val="1"/>
      <w:numFmt w:val="bullet"/>
      <w:lvlText w:val="●"/>
      <w:lvlJc w:val="left"/>
      <w:pPr>
        <w:ind w:left="5040" w:hanging="360"/>
      </w:pPr>
    </w:lvl>
    <w:lvl w:ilvl="7" w:tplc="61B85C84">
      <w:start w:val="1"/>
      <w:numFmt w:val="bullet"/>
      <w:lvlText w:val="●"/>
      <w:lvlJc w:val="left"/>
      <w:pPr>
        <w:ind w:left="5760" w:hanging="360"/>
      </w:pPr>
    </w:lvl>
    <w:lvl w:ilvl="8" w:tplc="A6B4F9B8">
      <w:start w:val="1"/>
      <w:numFmt w:val="bullet"/>
      <w:lvlText w:val="●"/>
      <w:lvlJc w:val="left"/>
      <w:pPr>
        <w:ind w:left="6480" w:hanging="360"/>
      </w:pPr>
    </w:lvl>
  </w:abstractNum>
  <w:abstractNum w:abstractNumId="2" w15:restartNumberingAfterBreak="0">
    <w:nsid w:val="62855E37"/>
    <w:multiLevelType w:val="hybridMultilevel"/>
    <w:tmpl w:val="4774B70A"/>
    <w:lvl w:ilvl="0" w:tplc="ABB0F408">
      <w:start w:val="1"/>
      <w:numFmt w:val="bullet"/>
      <w:lvlText w:val="•"/>
      <w:lvlJc w:val="left"/>
      <w:pPr>
        <w:ind w:left="720" w:hanging="360"/>
      </w:pPr>
    </w:lvl>
    <w:lvl w:ilvl="1" w:tplc="61E4D7B2">
      <w:numFmt w:val="decimal"/>
      <w:lvlText w:val=""/>
      <w:lvlJc w:val="left"/>
    </w:lvl>
    <w:lvl w:ilvl="2" w:tplc="83F4B0F6">
      <w:numFmt w:val="decimal"/>
      <w:lvlText w:val=""/>
      <w:lvlJc w:val="left"/>
    </w:lvl>
    <w:lvl w:ilvl="3" w:tplc="5D482C3E">
      <w:numFmt w:val="decimal"/>
      <w:lvlText w:val=""/>
      <w:lvlJc w:val="left"/>
    </w:lvl>
    <w:lvl w:ilvl="4" w:tplc="C6F41AC8">
      <w:numFmt w:val="decimal"/>
      <w:lvlText w:val=""/>
      <w:lvlJc w:val="left"/>
    </w:lvl>
    <w:lvl w:ilvl="5" w:tplc="CCB6DD32">
      <w:numFmt w:val="decimal"/>
      <w:lvlText w:val=""/>
      <w:lvlJc w:val="left"/>
    </w:lvl>
    <w:lvl w:ilvl="6" w:tplc="827A093E">
      <w:numFmt w:val="decimal"/>
      <w:lvlText w:val=""/>
      <w:lvlJc w:val="left"/>
    </w:lvl>
    <w:lvl w:ilvl="7" w:tplc="FD207FC2">
      <w:numFmt w:val="decimal"/>
      <w:lvlText w:val=""/>
      <w:lvlJc w:val="left"/>
    </w:lvl>
    <w:lvl w:ilvl="8" w:tplc="D81686E6">
      <w:numFmt w:val="decimal"/>
      <w:lvlText w:val=""/>
      <w:lvlJc w:val="left"/>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D0"/>
    <w:rsid w:val="00042959"/>
    <w:rsid w:val="000C3DD3"/>
    <w:rsid w:val="00345FC3"/>
    <w:rsid w:val="003B4971"/>
    <w:rsid w:val="005B5ED9"/>
    <w:rsid w:val="00790AA2"/>
    <w:rsid w:val="008F0670"/>
    <w:rsid w:val="00A14940"/>
    <w:rsid w:val="00A878B8"/>
    <w:rsid w:val="00AA4D1B"/>
    <w:rsid w:val="00B370D5"/>
    <w:rsid w:val="00D477C7"/>
    <w:rsid w:val="00D809F3"/>
    <w:rsid w:val="00E1173B"/>
    <w:rsid w:val="00E27CD0"/>
    <w:rsid w:val="00FC31C4"/>
    <w:rsid w:val="00FE3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C587"/>
  <w15:docId w15:val="{7089A6A6-4787-41BD-B8D3-8C4D1243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uiPriority w:val="9"/>
    <w:qFormat/>
    <w:pPr>
      <w:spacing w:before="320" w:after="160"/>
      <w:outlineLvl w:val="0"/>
    </w:pPr>
    <w:rPr>
      <w:b/>
      <w:bCs/>
      <w:color w:val="1F4E79"/>
      <w:sz w:val="32"/>
      <w:szCs w:val="32"/>
    </w:rPr>
  </w:style>
  <w:style w:type="paragraph" w:styleId="Balk2">
    <w:name w:val="heading 2"/>
    <w:uiPriority w:val="9"/>
    <w:unhideWhenUsed/>
    <w:qFormat/>
    <w:pPr>
      <w:spacing w:before="240" w:after="120"/>
      <w:outlineLvl w:val="1"/>
    </w:pPr>
    <w:rPr>
      <w:b/>
      <w:bCs/>
      <w:color w:val="2E75B6"/>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not Metni Char"/>
    <w:link w:val="SonnotMetni"/>
    <w:uiPriority w:val="99"/>
    <w:semiHidden/>
    <w:unhideWhenUsed/>
    <w:rPr>
      <w:sz w:val="20"/>
      <w:szCs w:val="20"/>
    </w:rPr>
  </w:style>
  <w:style w:type="paragraph" w:styleId="stBilgi">
    <w:name w:val="header"/>
    <w:basedOn w:val="Normal"/>
    <w:link w:val="stBilgiChar"/>
    <w:uiPriority w:val="99"/>
    <w:unhideWhenUsed/>
    <w:rsid w:val="00B370D5"/>
    <w:pPr>
      <w:tabs>
        <w:tab w:val="center" w:pos="4536"/>
        <w:tab w:val="right" w:pos="9072"/>
      </w:tabs>
    </w:pPr>
  </w:style>
  <w:style w:type="character" w:customStyle="1" w:styleId="stBilgiChar">
    <w:name w:val="Üst Bilgi Char"/>
    <w:basedOn w:val="VarsaylanParagrafYazTipi"/>
    <w:link w:val="stBilgi"/>
    <w:uiPriority w:val="99"/>
    <w:rsid w:val="00B370D5"/>
  </w:style>
  <w:style w:type="paragraph" w:styleId="AltBilgi">
    <w:name w:val="footer"/>
    <w:basedOn w:val="Normal"/>
    <w:link w:val="AltBilgiChar"/>
    <w:uiPriority w:val="99"/>
    <w:unhideWhenUsed/>
    <w:rsid w:val="00B370D5"/>
    <w:pPr>
      <w:tabs>
        <w:tab w:val="center" w:pos="4536"/>
        <w:tab w:val="right" w:pos="9072"/>
      </w:tabs>
    </w:pPr>
  </w:style>
  <w:style w:type="character" w:customStyle="1" w:styleId="AltBilgiChar">
    <w:name w:val="Alt Bilgi Char"/>
    <w:basedOn w:val="VarsaylanParagrafYazTipi"/>
    <w:link w:val="AltBilgi"/>
    <w:uiPriority w:val="99"/>
    <w:rsid w:val="00B37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2222</Words>
  <Characters>12668</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Mehtap Savran</cp:lastModifiedBy>
  <cp:revision>2</cp:revision>
  <dcterms:created xsi:type="dcterms:W3CDTF">2026-06-10T08:22:00Z</dcterms:created>
  <dcterms:modified xsi:type="dcterms:W3CDTF">2026-06-10T08:22:00Z</dcterms:modified>
</cp:coreProperties>
</file>