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BB" w:rsidRDefault="001940BB" w:rsidP="001940BB">
      <w:pPr>
        <w:pStyle w:val="normal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T.C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SÜLEYMAN DEMİREL ÜNİVERSİTESİ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KADIN HASTALIKLARI VE DOĞUM A.D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DÖNEM </w:t>
      </w:r>
      <w:r w:rsidR="00D658A4"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6 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KADIN DOĞUM STAJININ AMAÇLARI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1.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Bir hastanede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Kadın Doğum Kliniğinin genel yapısını, çalışma koşullarını, hasta kabulünü öğrenebilme,</w:t>
      </w:r>
    </w:p>
    <w:p w:rsidR="001940BB" w:rsidRDefault="001940BB" w:rsidP="001940BB">
      <w:pPr>
        <w:pStyle w:val="normal0"/>
        <w:spacing w:before="0" w:beforeAutospacing="0" w:after="200" w:afterAutospacing="0" w:line="3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2.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Kadın Hastalıkları ve Doğum stajı sonrasında, Tıp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D658A4">
        <w:rPr>
          <w:rStyle w:val="normalchar"/>
          <w:rFonts w:ascii="Arial" w:hAnsi="Arial" w:cs="Arial"/>
          <w:color w:val="000000"/>
          <w:sz w:val="22"/>
          <w:szCs w:val="22"/>
        </w:rPr>
        <w:t>Fakültesi Dönem 6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öğrencilerinin, Kadın Hastalıkları ve Doğum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Anabilimdalı’na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bağlı hastalıkların tanılarına ulaşabilmek amacıyla Detaylı jinekolojik –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obstetrik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anamnez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alabilme,</w:t>
      </w:r>
    </w:p>
    <w:p w:rsidR="001940BB" w:rsidRDefault="001940BB" w:rsidP="001940BB">
      <w:pPr>
        <w:pStyle w:val="liste0020paragraf"/>
        <w:spacing w:before="0" w:beforeAutospacing="0" w:after="200" w:afterAutospacing="0" w:line="48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e0020paragrafchar"/>
          <w:rFonts w:ascii="Arial" w:hAnsi="Arial" w:cs="Arial"/>
          <w:color w:val="000000"/>
          <w:sz w:val="22"/>
          <w:szCs w:val="22"/>
        </w:rPr>
        <w:t>3.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e0020paragrafchar"/>
          <w:rFonts w:ascii="Arial" w:hAnsi="Arial" w:cs="Arial"/>
          <w:color w:val="000000"/>
          <w:sz w:val="22"/>
          <w:szCs w:val="22"/>
        </w:rPr>
        <w:t>Kadın Doğum Polikliniğinde ilk muayene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liste0020paragrafchar"/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Bimanuel</w:t>
      </w:r>
      <w:proofErr w:type="spellEnd"/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 muayene), </w:t>
      </w:r>
      <w:proofErr w:type="spell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spekulum</w:t>
      </w:r>
      <w:proofErr w:type="spellEnd"/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 takma ve </w:t>
      </w:r>
      <w:proofErr w:type="spell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smear</w:t>
      </w:r>
      <w:proofErr w:type="spellEnd"/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 alma ile tanı amaçlı kullanılan yardımcı aletlerin (Ultrasonografi, NST, </w:t>
      </w:r>
      <w:proofErr w:type="spell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Kolposkopi</w:t>
      </w:r>
      <w:proofErr w:type="spellEnd"/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, Cerrahi aletler, </w:t>
      </w:r>
      <w:proofErr w:type="spell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Kriyoterapi</w:t>
      </w:r>
      <w:proofErr w:type="spellEnd"/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Koter</w:t>
      </w:r>
      <w:proofErr w:type="spellEnd"/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 cihazı, Vakum cihazı, </w:t>
      </w:r>
      <w:proofErr w:type="spell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Karmen</w:t>
      </w:r>
      <w:proofErr w:type="spellEnd"/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kanulleri</w:t>
      </w:r>
      <w:proofErr w:type="spellEnd"/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Hegar</w:t>
      </w:r>
      <w:proofErr w:type="spellEnd"/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 bujileri gibi) ne işe yaradıklarını ve hangi hastalıklarda kullanıldığını bilebilme,</w:t>
      </w:r>
    </w:p>
    <w:p w:rsidR="001940BB" w:rsidRDefault="001940BB" w:rsidP="001940BB">
      <w:pPr>
        <w:pStyle w:val="liste0020paragraf"/>
        <w:spacing w:before="0" w:beforeAutospacing="0" w:after="200" w:afterAutospacing="0" w:line="48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e0020paragrafchar"/>
          <w:rFonts w:ascii="Arial" w:hAnsi="Arial" w:cs="Arial"/>
          <w:color w:val="000000"/>
          <w:sz w:val="22"/>
          <w:szCs w:val="22"/>
        </w:rPr>
        <w:t>4.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Kadın Doğum Servisinde </w:t>
      </w:r>
      <w:proofErr w:type="spell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hospitalizasyon</w:t>
      </w:r>
      <w:proofErr w:type="spellEnd"/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 kuralları, servis bünyesinde yapılan müdahaleler, Doğum salonu ve Tüp bebek merkezinin işlevlerini anlayabilme,</w:t>
      </w:r>
    </w:p>
    <w:p w:rsidR="001940BB" w:rsidRDefault="001940BB" w:rsidP="001940BB">
      <w:pPr>
        <w:pStyle w:val="liste0020paragraf"/>
        <w:spacing w:before="0" w:beforeAutospacing="0" w:after="200" w:afterAutospacing="0" w:line="48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e0020paragrafchar"/>
          <w:rFonts w:ascii="Arial" w:hAnsi="Arial" w:cs="Arial"/>
          <w:color w:val="000000"/>
          <w:sz w:val="22"/>
          <w:szCs w:val="22"/>
        </w:rPr>
        <w:t>5.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e0020paragrafchar"/>
          <w:rFonts w:ascii="Arial" w:hAnsi="Arial" w:cs="Arial"/>
          <w:color w:val="000000"/>
          <w:sz w:val="22"/>
          <w:szCs w:val="22"/>
        </w:rPr>
        <w:t>Kadın Doğum staj bünyesindeki özellikli hasta ve hastalıkların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liste0020paragrafchar"/>
          <w:rFonts w:ascii="Arial" w:hAnsi="Arial" w:cs="Arial"/>
          <w:color w:val="000000"/>
          <w:sz w:val="22"/>
          <w:szCs w:val="22"/>
        </w:rPr>
        <w:t>(kanser hastaları, kemoterapi, erken doğum, dış gebelik gibi aciller) takipleri ve bu hastalara yaklaşım hakkında öngörü sağlayabilme,</w:t>
      </w:r>
    </w:p>
    <w:p w:rsidR="001940BB" w:rsidRDefault="001940BB" w:rsidP="001940BB">
      <w:pPr>
        <w:pStyle w:val="liste0020paragraf"/>
        <w:spacing w:before="0" w:beforeAutospacing="0" w:after="200" w:afterAutospacing="0" w:line="48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e0020paragrafchar"/>
          <w:rFonts w:ascii="Arial" w:hAnsi="Arial" w:cs="Arial"/>
          <w:color w:val="000000"/>
          <w:sz w:val="22"/>
          <w:szCs w:val="22"/>
        </w:rPr>
        <w:t>6.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Hasta başı </w:t>
      </w:r>
      <w:proofErr w:type="spell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vizitlerle</w:t>
      </w:r>
      <w:proofErr w:type="spellEnd"/>
      <w:r>
        <w:rPr>
          <w:rStyle w:val="liste0020paragrafchar"/>
          <w:rFonts w:ascii="Arial" w:hAnsi="Arial" w:cs="Arial"/>
          <w:color w:val="000000"/>
          <w:sz w:val="22"/>
          <w:szCs w:val="22"/>
        </w:rPr>
        <w:t>, Kadın Doğum hastalarına yaklaşımın, tanı kriterlerinin öğretim üyeleriyle birlikte değerlendirilme yeteneğinin kazanabilmesi amaçlanmıştır.</w:t>
      </w:r>
    </w:p>
    <w:p w:rsidR="001940BB" w:rsidRDefault="001940BB" w:rsidP="001940BB">
      <w:pPr>
        <w:pStyle w:val="liste0020paragraf"/>
        <w:spacing w:before="0" w:beforeAutospacing="0" w:after="200" w:afterAutospacing="0" w:line="26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0BB" w:rsidRDefault="001940BB" w:rsidP="001940BB">
      <w:pPr>
        <w:pStyle w:val="liste0020paragraf"/>
        <w:spacing w:before="0" w:beforeAutospacing="0" w:after="200" w:afterAutospacing="0" w:line="26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0BB" w:rsidRDefault="001940BB" w:rsidP="001940BB">
      <w:pPr>
        <w:pStyle w:val="liste0020paragraf"/>
        <w:spacing w:before="0" w:beforeAutospacing="0" w:after="200" w:afterAutospacing="0" w:line="26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0BB" w:rsidRDefault="001940BB" w:rsidP="001940BB">
      <w:pPr>
        <w:pStyle w:val="liste0020paragraf"/>
        <w:spacing w:before="0" w:beforeAutospacing="0" w:after="200" w:afterAutospacing="0" w:line="26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0BB" w:rsidRDefault="001940BB" w:rsidP="001940BB">
      <w:pPr>
        <w:pStyle w:val="liste0020paragraf"/>
        <w:spacing w:before="0" w:beforeAutospacing="0" w:after="200" w:afterAutospacing="0" w:line="26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0BB" w:rsidRDefault="001940BB" w:rsidP="001940BB">
      <w:pPr>
        <w:pStyle w:val="liste0020paragraf"/>
        <w:spacing w:before="0" w:beforeAutospacing="0" w:after="200" w:afterAutospacing="0" w:line="260" w:lineRule="atLeast"/>
        <w:ind w:left="720"/>
        <w:rPr>
          <w:rFonts w:ascii="Calibri" w:hAnsi="Calibri"/>
          <w:color w:val="000000"/>
          <w:sz w:val="22"/>
          <w:szCs w:val="22"/>
        </w:rPr>
      </w:pPr>
    </w:p>
    <w:p w:rsidR="001940BB" w:rsidRDefault="001940BB" w:rsidP="001940BB">
      <w:pPr>
        <w:pStyle w:val="liste0020paragraf"/>
        <w:spacing w:before="0" w:beforeAutospacing="0" w:after="200" w:afterAutospacing="0" w:line="260" w:lineRule="atLeast"/>
        <w:ind w:left="720"/>
        <w:rPr>
          <w:rFonts w:ascii="Calibri" w:hAnsi="Calibri"/>
          <w:color w:val="000000"/>
          <w:sz w:val="22"/>
          <w:szCs w:val="22"/>
        </w:rPr>
      </w:pPr>
    </w:p>
    <w:p w:rsidR="001940BB" w:rsidRDefault="001940BB" w:rsidP="001940BB">
      <w:pPr>
        <w:pStyle w:val="liste0020paragraf"/>
        <w:spacing w:before="0" w:beforeAutospacing="0" w:after="200" w:afterAutospacing="0" w:line="26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lastRenderedPageBreak/>
        <w:t xml:space="preserve">DÖNEM </w:t>
      </w:r>
      <w:r w:rsidR="004B3BE4">
        <w:rPr>
          <w:rStyle w:val="normalchar"/>
          <w:rFonts w:ascii="Calibri" w:hAnsi="Calibri"/>
          <w:b/>
          <w:bCs/>
          <w:color w:val="000000"/>
          <w:sz w:val="22"/>
          <w:szCs w:val="22"/>
        </w:rPr>
        <w:t>6</w:t>
      </w:r>
      <w:r>
        <w:rPr>
          <w:rStyle w:val="apple-converted-space"/>
          <w:rFonts w:ascii="Calibri" w:hAnsi="Calibri"/>
          <w:b/>
          <w:bCs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KADIN DOĞUM STAJININ ÖĞRENİM HEDEFLERİ</w:t>
      </w:r>
    </w:p>
    <w:p w:rsidR="001940BB" w:rsidRDefault="001940BB" w:rsidP="001940BB">
      <w:pPr>
        <w:pStyle w:val="normal0"/>
        <w:spacing w:before="0" w:beforeAutospacing="0" w:after="20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Bu bağlamda öğrencilerin Kadın Doğum Stajı ile ilgili olarak aldıkları eğitim sonrasında öğrencilerde olması istenen bilgi, beceri ve tutumları aşağıda belirlenmiştir.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1.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Detaylı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Obstetrik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ve jinekolojik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anamnez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alabilmeli,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2.</w:t>
      </w:r>
      <w:r>
        <w:rPr>
          <w:rFonts w:ascii="Calibri" w:hAnsi="Calibri"/>
          <w:color w:val="000000"/>
          <w:sz w:val="22"/>
          <w:szCs w:val="22"/>
        </w:rPr>
        <w:t>    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Spekulum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takabilmeli, aynı yoldan elde edilen (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vajinal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yol)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smear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vajinal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kültür, HPV tiplemesi için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spesmen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gibi</w:t>
      </w:r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>)</w:t>
      </w:r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bazı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spesmenleri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alabilmeli,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3.</w:t>
      </w:r>
      <w:r>
        <w:rPr>
          <w:rFonts w:ascii="Calibri" w:hAnsi="Calibri"/>
          <w:color w:val="000000"/>
          <w:sz w:val="22"/>
          <w:szCs w:val="22"/>
        </w:rPr>
        <w:t>    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Vajinal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muayene sırasındaki bazı sık gözlenen patolojileri tanımlayabilmeli ve önemini (akıntılar,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servikal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erozyon,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servikal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polip,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gardner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vajen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duvar kistleri gibi) açıklayabilmeli,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4.</w:t>
      </w:r>
      <w:r>
        <w:rPr>
          <w:rFonts w:ascii="Calibri" w:hAnsi="Calibri"/>
          <w:color w:val="000000"/>
          <w:sz w:val="22"/>
          <w:szCs w:val="22"/>
        </w:rPr>
        <w:t>    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Obstetrik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ve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transvainal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ultrasonda gözlenen anatomik planları (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Uterus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endometrium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over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, kistler gibi) kavrayabilmeli, genel bilgi sahibi olabilmeli (basit kist,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endometrioma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ayrımı gibi) ve tanımlayabilmeli,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5.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Gebe takibinde kullanılan NST cihazını gebeye bağlayabilmeli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(ÇKS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probunun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fetal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kalbe,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kontraksiyon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probunun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fundusa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), çıkan test sonucunu yorumlayabilmeli, 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6.</w:t>
      </w:r>
      <w:r>
        <w:rPr>
          <w:rFonts w:ascii="Calibri" w:hAnsi="Calibri"/>
          <w:color w:val="000000"/>
          <w:sz w:val="22"/>
          <w:szCs w:val="22"/>
        </w:rPr>
        <w:t>    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Preeklampsi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gibi bazı özel grup hastalara yaklaşımları (sessiz karanlık odaya alınması, sık TA takibi, her an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eklapmptik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nöbet ihtimaline karşı hasta yanında sürekli birisi ve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airway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diazem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vs bulundurulması gibi) söyleyebilmeli,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7.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Normal doğumdaki aşamaları, yapılan işlemleri, acil müdahaleleri (omuz takılması vs durumunda) anlayabilmeli ve uzmana sevk edebilmeli,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8.</w:t>
      </w:r>
      <w:r>
        <w:rPr>
          <w:rFonts w:ascii="Calibri" w:hAnsi="Calibri"/>
          <w:color w:val="000000"/>
          <w:sz w:val="22"/>
          <w:szCs w:val="22"/>
        </w:rPr>
        <w:t>    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Küretaj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işleminin kimlere ve hangi durumlarda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ve ne amaçla yapılması (fetüs tahliyesi, polip çıkartılması,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endometrium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kanseri tanısı konması gibi) gerektiğini söyleyebilmeli,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9.     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Mezuniyet sonrasında 1.basamak sağlık hizmeti veren kuruluşlarda Aile Planlaması danışmanlığı,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infertil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hastanın değerlendirilmesi verebilmeli,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10.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1. Basamağa başvuran hastalardaki bazı semptomların (kanlı akıntı, hızlı büyüyen şişlikler, vulvada uzun süreli kaşıntı gibi) kanser ön belirtisi olduğunu anlayabilme ve onkoloji kliniklerine sevkini erken ve hızlı sağlayabilmeli,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11.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Menopoz hastasını tanımlama, tahlillerinin tam olarak yapılması, uygun tedavinin planlanması ve Mamografi ile Kemik mineral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dansitesi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(BMD) sonuçlarını yorumlayabilmeli,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12.     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Adet görmeyen (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Amenore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) bir hastaya yaklaşımın algoritmasını sayabilmeli, yönlendirmeyi, muayenesini kavrayabilmeli, tahlil istemlerini yapabilmeli,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13.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Akut veya Kronik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pelvik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ağrı nedenlerini jinekolojik ve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non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-jinekolojik nedenlerini ayırt edebilmeli uygun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triajı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yapabilmeli,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14.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Cinsel yolla bulaşan hastalık grubunun genel semptomlarını </w:t>
      </w:r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>sayabilmeli,bunlara</w:t>
      </w:r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yaklaşımı ve tanı esaslarını, bu hastalıkların hastalar üzerindeki olası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morbiditelerini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infertilite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gibi) ve erken tedavilerini genel olarak kavrayabilmeli,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15.     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Kadın Doğum Kliniklerine acil başvuru nedenlerini (akut karın,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over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torsiyonu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, dış gebelik, erken doğum,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abondan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vajinal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kanama gibi) ve bunlara genel yaklaşımları söyleyebilmeli,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lastRenderedPageBreak/>
        <w:t>16.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Kadın hastaların dile getirmekte zorlandıkları rahim sarkması idrar kaçırma gibi (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ürojinekoloji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) problemleri hasta anlatmasa da rutin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anamnezde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sorabilmeli uygun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triajı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sağlayabilmelidir.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A0BE0" w:rsidRDefault="00BA0BE0"/>
    <w:sectPr w:rsidR="00BA0BE0" w:rsidSect="004E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40BB"/>
    <w:rsid w:val="000660B3"/>
    <w:rsid w:val="001940BB"/>
    <w:rsid w:val="004B3BE4"/>
    <w:rsid w:val="004E6079"/>
    <w:rsid w:val="00BA0BE0"/>
    <w:rsid w:val="00D6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basedOn w:val="Normal"/>
    <w:rsid w:val="0019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VarsaylanParagrafYazTipi"/>
    <w:rsid w:val="001940BB"/>
  </w:style>
  <w:style w:type="character" w:customStyle="1" w:styleId="apple-converted-space">
    <w:name w:val="apple-converted-space"/>
    <w:basedOn w:val="VarsaylanParagrafYazTipi"/>
    <w:rsid w:val="001940BB"/>
  </w:style>
  <w:style w:type="paragraph" w:customStyle="1" w:styleId="liste0020paragraf">
    <w:name w:val="liste_0020paragraf"/>
    <w:basedOn w:val="Normal"/>
    <w:rsid w:val="0019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0020paragrafchar">
    <w:name w:val="liste_0020paragraf__char"/>
    <w:basedOn w:val="VarsaylanParagrafYazTipi"/>
    <w:rsid w:val="00194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Scetin</dc:creator>
  <cp:keywords/>
  <dc:description/>
  <cp:lastModifiedBy>Scetin</cp:lastModifiedBy>
  <cp:revision>5</cp:revision>
  <cp:lastPrinted>2016-08-31T11:45:00Z</cp:lastPrinted>
  <dcterms:created xsi:type="dcterms:W3CDTF">2016-08-31T11:44:00Z</dcterms:created>
  <dcterms:modified xsi:type="dcterms:W3CDTF">2016-09-22T13:57:00Z</dcterms:modified>
</cp:coreProperties>
</file>